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52"/>
          <w:szCs w:val="52"/>
          <w:lang w:val="en-US" w:eastAsia="zh-CN"/>
        </w:rPr>
        <w:t>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w:t>
      </w:r>
      <w:r>
        <w:rPr>
          <w:rFonts w:hint="eastAsia" w:ascii="黑体" w:hAnsi="黑体" w:eastAsia="黑体" w:cs="黑体"/>
          <w:sz w:val="40"/>
          <w:szCs w:val="40"/>
          <w:lang w:val="en-US" w:eastAsia="zh-CN"/>
        </w:rPr>
        <w:t>称：食品类配送服务</w:t>
      </w:r>
    </w:p>
    <w:p>
      <w:pPr>
        <w:pStyle w:val="7"/>
        <w:rPr>
          <w:rFonts w:hint="eastAsia" w:ascii="黑体" w:hAnsi="黑体" w:eastAsia="黑体" w:cs="黑体"/>
          <w:lang w:val="en-US" w:eastAsia="zh-CN"/>
        </w:rPr>
      </w:pP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YNCG2024007</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2024年6月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乐山市五通桥区人民医院院内</w:t>
      </w:r>
      <w:r>
        <w:rPr>
          <w:rFonts w:hint="eastAsia" w:ascii="黑体" w:hAnsi="黑体" w:eastAsia="黑体" w:cs="黑体"/>
          <w:sz w:val="36"/>
          <w:szCs w:val="36"/>
          <w:lang w:val="en-US" w:eastAsia="zh-CN"/>
        </w:rPr>
        <w:t>采购</w:t>
      </w:r>
      <w:r>
        <w:rPr>
          <w:rFonts w:hint="eastAsia" w:ascii="黑体" w:hAnsi="黑体" w:eastAsia="黑体" w:cs="黑体"/>
          <w:sz w:val="36"/>
          <w:szCs w:val="36"/>
          <w:lang w:eastAsia="zh-CN"/>
        </w:rPr>
        <w:t>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w:t>
      </w:r>
      <w:r>
        <w:rPr>
          <w:rFonts w:hint="eastAsia" w:ascii="仿宋" w:hAnsi="仿宋" w:eastAsia="仿宋" w:cs="仿宋"/>
          <w:color w:val="555555"/>
          <w:kern w:val="0"/>
          <w:sz w:val="32"/>
          <w:szCs w:val="32"/>
          <w:lang w:val="en-US" w:eastAsia="zh-CN"/>
        </w:rPr>
        <w:t>购编号：YNCG2024007，项目包数量：1个</w:t>
      </w:r>
    </w:p>
    <w:p>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二、项目名称：食品类配送服务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pStyle w:val="5"/>
        <w:rPr>
          <w:rFonts w:hint="default"/>
          <w:lang w:val="en-US" w:eastAsia="zh-CN"/>
        </w:rPr>
      </w:pPr>
      <w:r>
        <w:rPr>
          <w:rFonts w:hint="eastAsia" w:ascii="仿宋" w:hAnsi="仿宋" w:eastAsia="仿宋" w:cs="仿宋"/>
          <w:color w:val="555555"/>
          <w:kern w:val="0"/>
          <w:sz w:val="32"/>
          <w:szCs w:val="32"/>
          <w:lang w:val="en-US" w:eastAsia="zh-CN"/>
        </w:rPr>
        <w:t xml:space="preserve">    此项目是乐山市五通桥区人民医院采购面包、饮用水、大米、粮油等食品类的配送服务。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以上资料至少2套，请满足上述资质要求的供应商于2024年7月1日17:00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2.在供应商满足相关资质要求及服务要求的条件下，采购采用综合评分法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采购文件:徐老师 </w:t>
      </w:r>
      <w:r>
        <w:rPr>
          <w:rFonts w:hint="eastAsia" w:ascii="仿宋" w:hAnsi="仿宋" w:eastAsia="仿宋" w:cs="仿宋"/>
          <w:color w:val="555555"/>
          <w:kern w:val="0"/>
          <w:sz w:val="32"/>
          <w:szCs w:val="32"/>
          <w:lang w:val="en-US" w:eastAsia="zh-CN"/>
        </w:rPr>
        <w:t xml:space="preserve">       电话:</w:t>
      </w:r>
      <w:r>
        <w:rPr>
          <w:rFonts w:hint="eastAsia" w:ascii="仿宋" w:hAnsi="仿宋" w:eastAsia="仿宋" w:cs="仿宋"/>
          <w:color w:val="555555"/>
          <w:kern w:val="0"/>
          <w:sz w:val="32"/>
          <w:szCs w:val="32"/>
          <w:lang w:val="en-US" w:eastAsia="zh-CN"/>
        </w:rPr>
        <w:t>0833-3211269</w:t>
      </w:r>
    </w:p>
    <w:p>
      <w:pPr>
        <w:ind w:firstLine="640" w:firstLineChars="200"/>
        <w:rPr>
          <w:rFonts w:hint="eastAsia" w:ascii="黑体" w:hAnsi="黑体" w:eastAsia="黑体" w:cs="黑体"/>
          <w:b/>
          <w:bCs/>
          <w:color w:val="auto"/>
          <w:sz w:val="72"/>
          <w:szCs w:val="72"/>
          <w:lang w:val="en-US" w:eastAsia="zh-CN"/>
        </w:rPr>
      </w:pPr>
      <w:r>
        <w:rPr>
          <w:rFonts w:hint="eastAsia" w:ascii="仿宋" w:hAnsi="仿宋" w:eastAsia="仿宋" w:cs="仿宋"/>
          <w:color w:val="555555"/>
          <w:kern w:val="0"/>
          <w:sz w:val="32"/>
          <w:szCs w:val="32"/>
          <w:lang w:val="en-US" w:eastAsia="zh-CN"/>
        </w:rPr>
        <w:t>项目联系人</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val="en-US" w:eastAsia="zh-CN"/>
        </w:rPr>
        <w:t>何老师      电话:0833-3351690</w:t>
      </w: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6"/>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00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000000"/>
          <w:sz w:val="32"/>
          <w:szCs w:val="32"/>
          <w:lang w:eastAsia="zh-CN"/>
        </w:rPr>
        <w:t>综合评分最高</w:t>
      </w:r>
      <w:r>
        <w:rPr>
          <w:rFonts w:hint="eastAsia" w:ascii="仿宋" w:hAnsi="仿宋" w:eastAsia="仿宋" w:cs="仿宋"/>
          <w:color w:val="000000"/>
          <w:sz w:val="32"/>
          <w:szCs w:val="32"/>
        </w:rPr>
        <w:t>原则确定成交供应商。</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25737"/>
      <w:bookmarkStart w:id="1" w:name="_Toc5773"/>
      <w:bookmarkStart w:id="2" w:name="_Toc9490"/>
      <w:bookmarkStart w:id="3" w:name="_Toc18458"/>
      <w:r>
        <w:rPr>
          <w:rFonts w:hint="eastAsia" w:ascii="黑体" w:hAnsi="黑体" w:eastAsia="黑体" w:cs="黑体"/>
          <w:b/>
          <w:bCs/>
          <w:sz w:val="32"/>
          <w:szCs w:val="32"/>
        </w:rPr>
        <w:br w:type="page"/>
      </w:r>
    </w:p>
    <w:bookmarkEnd w:id="0"/>
    <w:bookmarkEnd w:id="1"/>
    <w:bookmarkEnd w:id="2"/>
    <w:bookmarkEnd w:id="3"/>
    <w:p>
      <w:pPr>
        <w:numPr>
          <w:ilvl w:val="0"/>
          <w:numId w:val="3"/>
        </w:numPr>
        <w:jc w:val="center"/>
        <w:rPr>
          <w:rFonts w:hint="eastAsia" w:ascii="黑体" w:hAnsi="黑体" w:eastAsia="黑体" w:cs="黑体"/>
          <w:b/>
          <w:sz w:val="36"/>
          <w:szCs w:val="36"/>
          <w:lang w:val="en-US" w:eastAsia="zh-CN"/>
        </w:rPr>
      </w:pPr>
      <w:bookmarkStart w:id="4" w:name="_Toc4003"/>
      <w:bookmarkStart w:id="5" w:name="_Toc12449"/>
      <w:bookmarkStart w:id="6" w:name="_Toc439699516"/>
      <w:bookmarkStart w:id="7" w:name="_Toc17549"/>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176"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供应商须具有有效的《食品生产许可证》或《食品经营许可证》</w:t>
            </w: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7</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投标人须承诺若中标后配送供应的食品符合现行有效的食品安全国家标准。</w:t>
            </w: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3176"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r>
    </w:tbl>
    <w:p>
      <w:pPr>
        <w:pStyle w:val="5"/>
        <w:rPr>
          <w:rFonts w:hint="eastAsia" w:ascii="仿宋" w:hAnsi="仿宋" w:eastAsia="仿宋" w:cs="仿宋"/>
          <w:color w:val="auto"/>
          <w:sz w:val="30"/>
          <w:szCs w:val="30"/>
          <w:highlight w:val="none"/>
          <w:lang w:eastAsia="zh-CN"/>
        </w:rPr>
      </w:pPr>
    </w:p>
    <w:p>
      <w:pPr>
        <w:pStyle w:val="23"/>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2"/>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2426"/>
      <w:bookmarkStart w:id="9" w:name="_Toc439699522"/>
      <w:bookmarkStart w:id="10" w:name="_Toc1287"/>
      <w:bookmarkStart w:id="11" w:name="_Toc1800"/>
      <w:bookmarkStart w:id="12" w:name="_Toc16184"/>
      <w:bookmarkStart w:id="13" w:name="_Toc199"/>
      <w:bookmarkStart w:id="14" w:name="_Toc24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9"/>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9"/>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9"/>
        <w:spacing w:line="240" w:lineRule="auto"/>
        <w:ind w:firstLine="0"/>
        <w:rPr>
          <w:rFonts w:hint="eastAsia" w:ascii="仿宋" w:hAnsi="仿宋" w:eastAsia="仿宋" w:cs="仿宋"/>
          <w:color w:val="auto"/>
          <w:sz w:val="32"/>
          <w:szCs w:val="32"/>
        </w:rPr>
      </w:pPr>
    </w:p>
    <w:p>
      <w:pPr>
        <w:pStyle w:val="29"/>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pPr>
        <w:pStyle w:val="16"/>
        <w:numPr>
          <w:ilvl w:val="0"/>
          <w:numId w:val="4"/>
        </w:numPr>
        <w:spacing w:line="24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供货要求：</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成交申请人根据比选人需求品种和数量提供食品，按实际收货数量进行结算，严禁少量配送、超量配送、延时配送或者配送产品质量不达标，比选人有权全部退回。</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货物必须符合达到《中华人民共和国食品安全法》、《食品安全国家标准》及相应食品的法律法规的要求。食品中污染物限量应符合GB2762-2012标准，食品中农药残留量符合GB2763-2014标准。不得采购转基因食品或利用转基因食品原料加工的成品。所供应的食材和食品必须符合卫生防疫、检疫部门、质量检验、监督等部门的相关质量要求，能出具相关权威部门近期有效清晰的质检报告单。</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1、所有食品及外包装必须安全、卫生、无毒、无害、符合食品卫生质量要求，产品必须通过国家强制性要求的各类认证；</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2、供应商所供食材和食品因供应商原因导致比选人被卫生防疫、检疫部门、食药监督部门处罚的，所产生的罚款由供应商承担，同时依据合同约定进行违约处罚；</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3、任何因供应商所供食材和食品质量问题导致食品安全或食物中毒事故的，在确认导致问题原材料品种后，由供应商承担全部法律责任和经济赔偿，同时依据合同约定进行违约处罚；</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4、供应的所有食材和食品严禁含有违禁添加剂或其它法律规定的违禁品。</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二、最高限价：</w:t>
      </w:r>
    </w:p>
    <w:p>
      <w:pPr>
        <w:pStyle w:val="16"/>
        <w:numPr>
          <w:ilvl w:val="0"/>
          <w:numId w:val="0"/>
        </w:num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以每周乐山市发展和改革委员会公布的该产品价格作为最高限价（乐山市发展和改革委员会未公布该产品价格的，以招标清单中限价为准，其余以该周商场内价格作为最高限价），投标人报下浮比例。</w:t>
      </w:r>
    </w:p>
    <w:p>
      <w:pPr>
        <w:pStyle w:val="31"/>
        <w:jc w:val="center"/>
        <w:rPr>
          <w:rFonts w:hint="eastAsia" w:ascii="仿宋" w:hAnsi="仿宋" w:eastAsia="仿宋" w:cs="仿宋"/>
          <w:sz w:val="32"/>
          <w:szCs w:val="32"/>
        </w:rPr>
      </w:pPr>
      <w:r>
        <w:rPr>
          <w:rFonts w:hint="eastAsia" w:ascii="仿宋" w:hAnsi="仿宋" w:eastAsia="仿宋" w:cs="仿宋"/>
          <w:b/>
          <w:sz w:val="32"/>
          <w:szCs w:val="32"/>
        </w:rPr>
        <w:t>米面类食材采购质量要求</w:t>
      </w:r>
    </w:p>
    <w:p>
      <w:pPr>
        <w:pStyle w:val="31"/>
        <w:jc w:val="both"/>
        <w:rPr>
          <w:rFonts w:hint="eastAsia" w:ascii="仿宋" w:hAnsi="仿宋" w:eastAsia="仿宋" w:cs="仿宋"/>
          <w:sz w:val="32"/>
          <w:szCs w:val="32"/>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5"/>
        <w:gridCol w:w="894"/>
        <w:gridCol w:w="814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6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8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食材名称</w:t>
            </w:r>
          </w:p>
        </w:tc>
        <w:tc>
          <w:tcPr>
            <w:tcW w:w="81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left="210"/>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29" w:hRule="atLeast"/>
        </w:trPr>
        <w:tc>
          <w:tcPr>
            <w:tcW w:w="6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8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大米</w:t>
            </w:r>
          </w:p>
        </w:tc>
        <w:tc>
          <w:tcPr>
            <w:tcW w:w="8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firstLine="480"/>
              <w:rPr>
                <w:rFonts w:hint="eastAsia" w:ascii="仿宋" w:hAnsi="仿宋" w:eastAsia="仿宋" w:cs="仿宋"/>
                <w:sz w:val="32"/>
                <w:szCs w:val="32"/>
              </w:rPr>
            </w:pPr>
            <w:r>
              <w:rPr>
                <w:rFonts w:hint="eastAsia" w:ascii="仿宋" w:hAnsi="仿宋" w:eastAsia="仿宋" w:cs="仿宋"/>
                <w:sz w:val="32"/>
                <w:szCs w:val="32"/>
              </w:rPr>
              <w:t>1、规格等级：二级或二级以上。</w:t>
            </w:r>
          </w:p>
          <w:p>
            <w:pPr>
              <w:pStyle w:val="31"/>
              <w:ind w:firstLine="480"/>
              <w:rPr>
                <w:rFonts w:hint="eastAsia" w:ascii="仿宋" w:hAnsi="仿宋" w:eastAsia="仿宋" w:cs="仿宋"/>
                <w:sz w:val="32"/>
                <w:szCs w:val="32"/>
              </w:rPr>
            </w:pPr>
            <w:r>
              <w:rPr>
                <w:rFonts w:hint="eastAsia" w:ascii="仿宋" w:hAnsi="仿宋" w:eastAsia="仿宋" w:cs="仿宋"/>
                <w:sz w:val="32"/>
                <w:szCs w:val="32"/>
              </w:rPr>
              <w:t>2、大米质量须符合GB/T1354-2018《大米》的要求。</w:t>
            </w:r>
          </w:p>
          <w:p>
            <w:pPr>
              <w:pStyle w:val="31"/>
              <w:ind w:firstLine="480"/>
              <w:rPr>
                <w:rFonts w:hint="eastAsia" w:ascii="仿宋" w:hAnsi="仿宋" w:eastAsia="仿宋" w:cs="仿宋"/>
                <w:sz w:val="32"/>
                <w:szCs w:val="32"/>
              </w:rPr>
            </w:pPr>
            <w:r>
              <w:rPr>
                <w:rFonts w:hint="eastAsia" w:ascii="仿宋" w:hAnsi="仿宋" w:eastAsia="仿宋" w:cs="仿宋"/>
                <w:sz w:val="32"/>
                <w:szCs w:val="32"/>
              </w:rPr>
              <w:t>3、大米质量要求：外观色泽和气味无异常；碎米总量≤20.0%；小碎米≤1.5%；不完善粒≤3.0%；黄粒米≤1.0%；水分≤14.5%；杂质总量≤0.25%；无机杂质含量≤0.02；六六六≤0.05 mg/kg；滴滴涕≤0.05 mg/kg；黄曲霉毒素 B1≤10 ug/kg；铅（Pb）≤0.2 mg/kg； 镉（Cd）≤0.2 mg/kg；汞（Hg）≤0.02 mg/kg；无机砷（As）≤ 0.15 mg/kg。</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4、包装袋应符合国家食品包装相关标准。包装上注明产品名称、配料表、净含量、厂名、厂址、生产日期、保质期、产品标准号、生产许可证号。规格由双方协商确定，以便于运输存储使用为原则。</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5、每批货提供给采购人时剩余质保有效期须在该产品质保期一半以上。</w:t>
            </w:r>
          </w:p>
        </w:tc>
      </w:tr>
    </w:tbl>
    <w:p>
      <w:pPr>
        <w:pStyle w:val="31"/>
        <w:jc w:val="both"/>
        <w:rPr>
          <w:rFonts w:hint="eastAsia" w:ascii="仿宋" w:hAnsi="仿宋" w:eastAsia="仿宋" w:cs="仿宋"/>
          <w:sz w:val="32"/>
          <w:szCs w:val="32"/>
        </w:rPr>
      </w:pPr>
    </w:p>
    <w:p>
      <w:pPr>
        <w:pStyle w:val="31"/>
        <w:jc w:val="center"/>
        <w:rPr>
          <w:rFonts w:hint="eastAsia" w:ascii="仿宋" w:hAnsi="仿宋" w:eastAsia="仿宋" w:cs="仿宋"/>
          <w:sz w:val="32"/>
          <w:szCs w:val="32"/>
        </w:rPr>
      </w:pPr>
      <w:r>
        <w:rPr>
          <w:rFonts w:hint="eastAsia" w:ascii="仿宋" w:hAnsi="仿宋" w:eastAsia="仿宋" w:cs="仿宋"/>
          <w:b/>
          <w:sz w:val="32"/>
          <w:szCs w:val="32"/>
        </w:rPr>
        <w:t>食用菜籽油类食材采购质量要求</w:t>
      </w:r>
    </w:p>
    <w:p>
      <w:pPr>
        <w:pStyle w:val="31"/>
        <w:jc w:val="both"/>
        <w:rPr>
          <w:rFonts w:hint="eastAsia" w:ascii="仿宋" w:hAnsi="仿宋" w:eastAsia="仿宋" w:cs="仿宋"/>
          <w:sz w:val="32"/>
          <w:szCs w:val="32"/>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9"/>
        <w:gridCol w:w="890"/>
        <w:gridCol w:w="81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8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食材名称</w:t>
            </w:r>
          </w:p>
        </w:tc>
        <w:tc>
          <w:tcPr>
            <w:tcW w:w="81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8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菜籽食用油</w:t>
            </w:r>
          </w:p>
        </w:tc>
        <w:tc>
          <w:tcPr>
            <w:tcW w:w="8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1、菜籽油等级为压榨二级及以上，油质清澈明亮，无异味，不得有沉淀污物等。色泽鲜亮，清澈透明、无杂质、无沉淀物、无任何异味，经280℃加热油色不变深，有预包装并应符合国家的有关规定和要求，有明确的计量，并标识“压榨”。</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 xml:space="preserve">2、产品标准符合： GB 1536-2021菜籽油国家标准，包装应符合GB/T 17374《食用植物油销售包装》及 GB7718《预包装食品标签通则》等国家的有关规定和要求。 </w:t>
            </w:r>
            <w:r>
              <w:rPr>
                <w:rFonts w:hint="eastAsia" w:ascii="仿宋" w:hAnsi="仿宋" w:eastAsia="仿宋" w:cs="仿宋"/>
                <w:sz w:val="32"/>
                <w:szCs w:val="32"/>
                <w:shd w:val="clear" w:fill="FFFFFF"/>
              </w:rPr>
              <w:t>食用油的食品安全指标应符合GB2716-2018的规定。</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3、每批货提供给采购人时剩余质保有效期须在6个月（含）以上。</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4、包装要求：GB 31604.30-2016 食品安全国家标准 食品接触材料及制品 邻苯二甲酸酯的测定和迁移量的测定；标准包装产品。须符合国家食品包装相关标准包装标识清楚，印有生产日期、保质期、生产厂家、电话、生产许可证号等。规格由双方协商确定，以便于运输存储使用为原则。</w:t>
            </w:r>
          </w:p>
        </w:tc>
      </w:tr>
    </w:tbl>
    <w:p>
      <w:pPr>
        <w:pStyle w:val="31"/>
        <w:jc w:val="both"/>
        <w:rPr>
          <w:rFonts w:hint="eastAsia" w:ascii="仿宋" w:hAnsi="仿宋" w:eastAsia="仿宋" w:cs="仿宋"/>
          <w:sz w:val="32"/>
          <w:szCs w:val="32"/>
        </w:rPr>
      </w:pPr>
    </w:p>
    <w:p>
      <w:pPr>
        <w:pStyle w:val="31"/>
        <w:jc w:val="center"/>
        <w:rPr>
          <w:rFonts w:hint="eastAsia" w:ascii="仿宋" w:hAnsi="仿宋" w:eastAsia="仿宋" w:cs="仿宋"/>
          <w:sz w:val="32"/>
          <w:szCs w:val="32"/>
        </w:rPr>
      </w:pPr>
      <w:r>
        <w:rPr>
          <w:rFonts w:hint="eastAsia" w:ascii="仿宋" w:hAnsi="仿宋" w:eastAsia="仿宋" w:cs="仿宋"/>
          <w:b/>
          <w:sz w:val="32"/>
          <w:szCs w:val="32"/>
        </w:rPr>
        <w:t>调味品、干杂类食材采购质量要求</w:t>
      </w:r>
    </w:p>
    <w:p>
      <w:pPr>
        <w:pStyle w:val="31"/>
        <w:jc w:val="both"/>
        <w:rPr>
          <w:rFonts w:hint="eastAsia" w:ascii="仿宋" w:hAnsi="仿宋" w:eastAsia="仿宋" w:cs="仿宋"/>
          <w:sz w:val="32"/>
          <w:szCs w:val="32"/>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9"/>
        <w:gridCol w:w="1085"/>
        <w:gridCol w:w="808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10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食材名称</w:t>
            </w:r>
          </w:p>
        </w:tc>
        <w:tc>
          <w:tcPr>
            <w:tcW w:w="808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05" w:hRule="atLeast"/>
        </w:trPr>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10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干杂、调料（调料、散装、预包装等）及其他定型包装食品</w:t>
            </w:r>
          </w:p>
        </w:tc>
        <w:tc>
          <w:tcPr>
            <w:tcW w:w="80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1、食材必须符合国家最新质量、卫生、安全标准或行业质量要求；预包装类食品原料必须符合食品安全国家标准要求，商品的包装须符合GB7718《预包装食品标签通则》标准要求，具备产品合格证，不变质，不过期。包装袋无破损，包装上注明产品名称、对原材料产地、用途、使用方法、规格、质量、等级、配料表、净含量、厂名、厂址、生产日期、保质期、产品标准号、生产许可证编号等商品使用属性密切相关的内容须有清晰的标示。</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2、每批货提供给采购人时剩余质保有效期须在该产品质保期一半以上。</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3、食品原料必须符合国家最新质量、卫生、安全标准或行业质量要求；定型包装类食品原料必须符合食品安全国家标准要求，具备产品合格证，不变质，不过期。包装袋无破损，包装上注明产品名称、对原材料产地、用途、使用方法、规格、质量、等级、配料表、净含量、厂名、厂址、生产日期、保质期、产品标准号、生产许可证编号等商品使用属性密切相关的内容须有清晰的标示。</w:t>
            </w:r>
          </w:p>
          <w:p>
            <w:pPr>
              <w:pStyle w:val="31"/>
              <w:ind w:right="30" w:firstLine="480"/>
              <w:jc w:val="both"/>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shd w:val="clear" w:fill="FFFFFF"/>
              </w:rPr>
              <w:t>酱油食品安全指标应符合GB 2717-2018 的规定、食醋食品安全指标应符合GB 2719-2018的规定、味精食品安全指标应符合GB 2720-2015的规定、食用盐食品安全指标应符合GB 2721-2015的规定；</w:t>
            </w:r>
          </w:p>
          <w:p>
            <w:pPr>
              <w:pStyle w:val="31"/>
              <w:ind w:firstLine="448"/>
              <w:jc w:val="both"/>
              <w:rPr>
                <w:rFonts w:hint="eastAsia" w:ascii="仿宋" w:hAnsi="仿宋" w:eastAsia="仿宋" w:cs="仿宋"/>
                <w:sz w:val="32"/>
                <w:szCs w:val="32"/>
              </w:rPr>
            </w:pPr>
            <w:r>
              <w:rPr>
                <w:rFonts w:hint="eastAsia" w:ascii="仿宋" w:hAnsi="仿宋" w:eastAsia="仿宋" w:cs="仿宋"/>
                <w:sz w:val="32"/>
                <w:szCs w:val="32"/>
                <w:shd w:val="clear" w:fill="FFFFFF"/>
              </w:rPr>
              <w:t>5、干杂类食品添加剂的使用须符合GB2760-2014标准的规定要求；重金属元素须符合现行有效的GB2762标准规定要求；农药残留须符合GB2763-2021标准的规定要求。</w:t>
            </w:r>
          </w:p>
        </w:tc>
      </w:tr>
    </w:tbl>
    <w:p>
      <w:pPr>
        <w:pStyle w:val="31"/>
        <w:ind w:firstLine="480"/>
        <w:jc w:val="both"/>
        <w:rPr>
          <w:rFonts w:hint="eastAsia" w:ascii="仿宋" w:hAnsi="仿宋" w:eastAsia="仿宋" w:cs="仿宋"/>
          <w:sz w:val="32"/>
          <w:szCs w:val="32"/>
        </w:rPr>
      </w:pPr>
    </w:p>
    <w:p>
      <w:pPr>
        <w:pStyle w:val="31"/>
        <w:jc w:val="center"/>
        <w:rPr>
          <w:rFonts w:hint="eastAsia" w:ascii="仿宋" w:hAnsi="仿宋" w:eastAsia="仿宋" w:cs="仿宋"/>
          <w:sz w:val="32"/>
          <w:szCs w:val="32"/>
        </w:rPr>
      </w:pPr>
      <w:r>
        <w:rPr>
          <w:rFonts w:hint="eastAsia" w:ascii="仿宋" w:hAnsi="仿宋" w:eastAsia="仿宋" w:cs="仿宋"/>
          <w:b/>
          <w:sz w:val="32"/>
          <w:szCs w:val="32"/>
        </w:rPr>
        <w:t>奶制品采购质量要求</w:t>
      </w:r>
    </w:p>
    <w:p>
      <w:pPr>
        <w:pStyle w:val="31"/>
        <w:jc w:val="both"/>
        <w:rPr>
          <w:rFonts w:hint="eastAsia" w:ascii="仿宋" w:hAnsi="仿宋" w:eastAsia="仿宋" w:cs="仿宋"/>
          <w:sz w:val="32"/>
          <w:szCs w:val="32"/>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3"/>
        <w:gridCol w:w="1045"/>
        <w:gridCol w:w="813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10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食材名称</w:t>
            </w:r>
          </w:p>
        </w:tc>
        <w:tc>
          <w:tcPr>
            <w:tcW w:w="81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7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10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sz w:val="32"/>
                <w:szCs w:val="32"/>
              </w:rPr>
              <w:t>奶制品</w:t>
            </w:r>
          </w:p>
        </w:tc>
        <w:tc>
          <w:tcPr>
            <w:tcW w:w="81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right="30"/>
              <w:jc w:val="both"/>
              <w:rPr>
                <w:rFonts w:hint="eastAsia" w:ascii="仿宋" w:hAnsi="仿宋" w:eastAsia="仿宋" w:cs="仿宋"/>
                <w:sz w:val="32"/>
                <w:szCs w:val="32"/>
              </w:rPr>
            </w:pPr>
            <w:r>
              <w:rPr>
                <w:rFonts w:hint="eastAsia" w:ascii="仿宋" w:hAnsi="仿宋" w:eastAsia="仿宋" w:cs="仿宋"/>
                <w:sz w:val="32"/>
                <w:szCs w:val="32"/>
                <w:lang w:val="en-US" w:eastAsia="zh-CN"/>
              </w:rPr>
              <w:t>无菌灌装，盒装或袋装，符合《乳品安全国家标准》关于奶制品的相关标准。</w:t>
            </w:r>
          </w:p>
        </w:tc>
      </w:tr>
    </w:tbl>
    <w:p>
      <w:pPr>
        <w:pStyle w:val="31"/>
        <w:jc w:val="both"/>
        <w:rPr>
          <w:rFonts w:hint="eastAsia" w:ascii="仿宋" w:hAnsi="仿宋" w:eastAsia="仿宋" w:cs="仿宋"/>
          <w:sz w:val="32"/>
          <w:szCs w:val="32"/>
        </w:rPr>
      </w:pPr>
    </w:p>
    <w:p>
      <w:pPr>
        <w:pStyle w:val="31"/>
        <w:jc w:val="center"/>
        <w:rPr>
          <w:rFonts w:hint="eastAsia" w:ascii="仿宋" w:hAnsi="仿宋" w:eastAsia="仿宋" w:cs="仿宋"/>
          <w:sz w:val="32"/>
          <w:szCs w:val="32"/>
        </w:rPr>
      </w:pPr>
      <w:r>
        <w:rPr>
          <w:rFonts w:hint="eastAsia" w:ascii="仿宋" w:hAnsi="仿宋" w:eastAsia="仿宋" w:cs="仿宋"/>
          <w:b/>
          <w:sz w:val="32"/>
          <w:szCs w:val="32"/>
        </w:rPr>
        <w:t>水果类食材采购质量要求</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6"/>
        <w:gridCol w:w="1063"/>
        <w:gridCol w:w="81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10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食材名称</w:t>
            </w:r>
          </w:p>
        </w:tc>
        <w:tc>
          <w:tcPr>
            <w:tcW w:w="81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sz w:val="32"/>
                <w:szCs w:val="32"/>
              </w:rPr>
              <w:t>水果</w:t>
            </w:r>
          </w:p>
        </w:tc>
        <w:tc>
          <w:tcPr>
            <w:tcW w:w="8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right="90" w:firstLine="480"/>
              <w:rPr>
                <w:rFonts w:hint="eastAsia" w:ascii="仿宋" w:hAnsi="仿宋" w:eastAsia="仿宋" w:cs="仿宋"/>
                <w:sz w:val="32"/>
                <w:szCs w:val="32"/>
              </w:rPr>
            </w:pPr>
            <w:r>
              <w:rPr>
                <w:rFonts w:hint="eastAsia" w:ascii="仿宋" w:hAnsi="仿宋" w:eastAsia="仿宋" w:cs="仿宋"/>
                <w:sz w:val="32"/>
                <w:szCs w:val="32"/>
              </w:rPr>
              <w:t>果皮完整、色泽鲜亮、果实饱满、蒂部不干枯，成熟适度。果实坚实，水分足，皮不干缩、形态完整。表皮无斑点、腐烂，无虫咬、破伤及霉点。有瓜果的自然香味，无异味。供货水果农药残留</w:t>
            </w:r>
            <w:r>
              <w:rPr>
                <w:rFonts w:hint="eastAsia" w:ascii="仿宋" w:hAnsi="仿宋" w:eastAsia="仿宋" w:cs="仿宋"/>
                <w:sz w:val="32"/>
                <w:szCs w:val="32"/>
                <w:shd w:val="clear" w:fill="FFFFFF"/>
              </w:rPr>
              <w:t>符合GB2763-2021《食品安全国家标准农残最大残留限量》要求。</w:t>
            </w:r>
          </w:p>
        </w:tc>
      </w:tr>
    </w:tbl>
    <w:p>
      <w:pPr>
        <w:pStyle w:val="31"/>
        <w:jc w:val="center"/>
        <w:rPr>
          <w:rFonts w:hint="eastAsia" w:ascii="仿宋" w:hAnsi="仿宋" w:eastAsia="仿宋" w:cs="仿宋"/>
          <w:b/>
          <w:sz w:val="32"/>
          <w:szCs w:val="32"/>
        </w:rPr>
      </w:pPr>
    </w:p>
    <w:p>
      <w:pPr>
        <w:pStyle w:val="31"/>
        <w:jc w:val="center"/>
        <w:rPr>
          <w:rFonts w:hint="eastAsia" w:ascii="仿宋" w:hAnsi="仿宋" w:eastAsia="仿宋" w:cs="仿宋"/>
          <w:sz w:val="32"/>
          <w:szCs w:val="32"/>
        </w:rPr>
      </w:pPr>
      <w:r>
        <w:rPr>
          <w:rFonts w:hint="eastAsia" w:ascii="仿宋" w:hAnsi="仿宋" w:eastAsia="仿宋" w:cs="仿宋"/>
          <w:b/>
          <w:sz w:val="32"/>
          <w:szCs w:val="32"/>
        </w:rPr>
        <w:t>低值易耗品采购质量要求</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4"/>
        <w:gridCol w:w="1023"/>
        <w:gridCol w:w="817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10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名称</w:t>
            </w:r>
          </w:p>
        </w:tc>
        <w:tc>
          <w:tcPr>
            <w:tcW w:w="81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768" w:hRule="atLeast"/>
        </w:trPr>
        <w:tc>
          <w:tcPr>
            <w:tcW w:w="7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sz w:val="32"/>
                <w:szCs w:val="32"/>
              </w:rPr>
              <w:t>低值易耗品</w:t>
            </w:r>
          </w:p>
        </w:tc>
        <w:tc>
          <w:tcPr>
            <w:tcW w:w="81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rPr>
              <w:t>包括但不限于卫生纸、一次性碗筷、保鲜膜、垃圾桶等。包装要求：提供的低值易耗品质量保证，包装产品须有名称、地址、商标、生产厂家；生产日期、保质期或具有生产许可证。</w:t>
            </w:r>
          </w:p>
          <w:p>
            <w:pPr>
              <w:pStyle w:val="31"/>
              <w:rPr>
                <w:rFonts w:hint="eastAsia" w:ascii="仿宋" w:hAnsi="仿宋" w:eastAsia="仿宋" w:cs="仿宋"/>
                <w:sz w:val="32"/>
                <w:szCs w:val="32"/>
              </w:rPr>
            </w:pPr>
            <w:r>
              <w:rPr>
                <w:rFonts w:hint="eastAsia" w:ascii="仿宋" w:hAnsi="仿宋" w:eastAsia="仿宋" w:cs="仿宋"/>
                <w:sz w:val="32"/>
                <w:szCs w:val="32"/>
              </w:rPr>
              <w:t>技术标准要求：所提供的产品质量须符合对应的国家行业相关标准的要求。</w:t>
            </w:r>
          </w:p>
        </w:tc>
      </w:tr>
    </w:tbl>
    <w:p>
      <w:pPr>
        <w:pStyle w:val="31"/>
        <w:rPr>
          <w:rFonts w:hint="eastAsia" w:ascii="仿宋" w:hAnsi="仿宋" w:eastAsia="仿宋" w:cs="仿宋"/>
          <w:sz w:val="32"/>
          <w:szCs w:val="32"/>
          <w:lang w:val="en-US" w:eastAsia="zh-CN"/>
        </w:rPr>
      </w:pPr>
    </w:p>
    <w:p>
      <w:pPr>
        <w:keepNext w:val="0"/>
        <w:keepLines w:val="0"/>
        <w:widowControl/>
        <w:suppressLineNumbers w:val="0"/>
        <w:jc w:val="center"/>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日用品类 、小食品类</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4"/>
        <w:gridCol w:w="886"/>
        <w:gridCol w:w="830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8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名称</w:t>
            </w:r>
          </w:p>
        </w:tc>
        <w:tc>
          <w:tcPr>
            <w:tcW w:w="83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724" w:type="dxa"/>
            <w:tcBorders>
              <w:top w:val="nil"/>
              <w:left w:val="single" w:color="000000" w:sz="4" w:space="0"/>
              <w:bottom w:val="nil"/>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rPr>
              <w:t>1</w:t>
            </w:r>
          </w:p>
        </w:tc>
        <w:tc>
          <w:tcPr>
            <w:tcW w:w="886" w:type="dxa"/>
            <w:tcBorders>
              <w:top w:val="nil"/>
              <w:left w:val="single" w:color="000000" w:sz="4" w:space="0"/>
              <w:bottom w:val="nil"/>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lang w:val="en-US" w:eastAsia="zh-CN"/>
              </w:rPr>
              <w:t>日常用品</w:t>
            </w:r>
          </w:p>
          <w:p>
            <w:pPr>
              <w:pStyle w:val="31"/>
              <w:rPr>
                <w:rFonts w:hint="eastAsia" w:ascii="仿宋" w:hAnsi="仿宋" w:eastAsia="仿宋" w:cs="仿宋"/>
                <w:sz w:val="32"/>
                <w:szCs w:val="32"/>
              </w:rPr>
            </w:pPr>
          </w:p>
        </w:tc>
        <w:tc>
          <w:tcPr>
            <w:tcW w:w="8308" w:type="dxa"/>
            <w:tcBorders>
              <w:top w:val="nil"/>
              <w:left w:val="single" w:color="000000" w:sz="4" w:space="0"/>
              <w:bottom w:val="nil"/>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lang w:val="en-US" w:eastAsia="zh-CN"/>
              </w:rPr>
              <w:t xml:space="preserve">应当符合国家有关质量、卫生标准。应符合相应的标准要求，包装完好。 </w:t>
            </w:r>
          </w:p>
          <w:p>
            <w:pPr>
              <w:pStyle w:val="31"/>
              <w:rPr>
                <w:rFonts w:hint="eastAsia" w:ascii="仿宋" w:hAnsi="仿宋" w:eastAsia="仿宋" w:cs="仿宋"/>
                <w:sz w:val="32"/>
                <w:szCs w:val="32"/>
              </w:rPr>
            </w:pPr>
            <w:r>
              <w:rPr>
                <w:rFonts w:hint="eastAsia" w:ascii="仿宋" w:hAnsi="仿宋" w:eastAsia="仿宋" w:cs="仿宋"/>
                <w:sz w:val="32"/>
                <w:szCs w:val="32"/>
                <w:lang w:val="en-US" w:eastAsia="zh-CN"/>
              </w:rPr>
              <w:t>不得提供假冒伪劣和过期商品。</w:t>
            </w:r>
          </w:p>
          <w:p>
            <w:pPr>
              <w:pStyle w:val="31"/>
              <w:rPr>
                <w:rFonts w:hint="eastAsia" w:ascii="仿宋" w:hAnsi="仿宋" w:eastAsia="仿宋" w:cs="仿宋"/>
                <w:sz w:val="32"/>
                <w:szCs w:val="3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768" w:hRule="atLeast"/>
        </w:trPr>
        <w:tc>
          <w:tcPr>
            <w:tcW w:w="7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8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lang w:val="en-US" w:eastAsia="zh-CN"/>
              </w:rPr>
              <w:t>小食品</w:t>
            </w:r>
          </w:p>
          <w:p>
            <w:pPr>
              <w:pStyle w:val="31"/>
              <w:rPr>
                <w:rFonts w:hint="eastAsia" w:ascii="仿宋" w:hAnsi="仿宋" w:eastAsia="仿宋" w:cs="仿宋"/>
                <w:sz w:val="32"/>
                <w:szCs w:val="32"/>
              </w:rPr>
            </w:pPr>
          </w:p>
        </w:tc>
        <w:tc>
          <w:tcPr>
            <w:tcW w:w="83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lang w:val="en-US" w:eastAsia="zh-CN"/>
              </w:rPr>
              <w:t xml:space="preserve">所有小食品类均为正规厂家生产，包装完整，所有产品有“SC”标志，标 </w:t>
            </w:r>
          </w:p>
          <w:p>
            <w:pPr>
              <w:pStyle w:val="31"/>
              <w:rPr>
                <w:rFonts w:hint="eastAsia" w:ascii="仿宋" w:hAnsi="仿宋" w:eastAsia="仿宋" w:cs="仿宋"/>
                <w:sz w:val="32"/>
                <w:szCs w:val="32"/>
              </w:rPr>
            </w:pPr>
            <w:r>
              <w:rPr>
                <w:rFonts w:hint="eastAsia" w:ascii="仿宋" w:hAnsi="仿宋" w:eastAsia="仿宋" w:cs="仿宋"/>
                <w:sz w:val="32"/>
                <w:szCs w:val="32"/>
                <w:lang w:val="en-US" w:eastAsia="zh-CN"/>
              </w:rPr>
              <w:t>明商品名称、规格、生产商、产地、生产日期、保质期或保存期。</w:t>
            </w:r>
          </w:p>
          <w:p>
            <w:pPr>
              <w:pStyle w:val="31"/>
              <w:rPr>
                <w:rFonts w:hint="eastAsia" w:ascii="仿宋" w:hAnsi="仿宋" w:eastAsia="仿宋" w:cs="仿宋"/>
                <w:sz w:val="32"/>
                <w:szCs w:val="32"/>
              </w:rPr>
            </w:pPr>
          </w:p>
        </w:tc>
      </w:tr>
    </w:tbl>
    <w:p>
      <w:pPr>
        <w:pStyle w:val="31"/>
        <w:rPr>
          <w:rFonts w:hint="eastAsia" w:ascii="仿宋" w:hAnsi="仿宋" w:eastAsia="仿宋" w:cs="仿宋"/>
          <w:sz w:val="32"/>
          <w:szCs w:val="32"/>
          <w:lang w:val="en-US" w:eastAsia="zh-CN"/>
        </w:rPr>
      </w:pPr>
    </w:p>
    <w:p>
      <w:pPr>
        <w:pStyle w:val="3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注：1、自送达日期开始计算，距离产品质保期不得低于法定质保期的一半。</w:t>
      </w:r>
    </w:p>
    <w:p>
      <w:pPr>
        <w:pStyle w:val="3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2、配送所供应产品符合GB 2762《食品安全国家标准食品中污染物限量》规定。</w:t>
      </w:r>
    </w:p>
    <w:p>
      <w:pPr>
        <w:pStyle w:val="3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3、以上标准若有最新标准的按照最新标准执行。</w:t>
      </w: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3008"/>
        <w:gridCol w:w="2421"/>
        <w:gridCol w:w="135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60" w:type="dxa"/>
            <w:gridSpan w:val="5"/>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采购清单（应具备以下清单的品种）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15"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3008"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品名</w:t>
            </w:r>
          </w:p>
        </w:tc>
        <w:tc>
          <w:tcPr>
            <w:tcW w:w="2421"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规格</w:t>
            </w:r>
          </w:p>
        </w:tc>
        <w:tc>
          <w:tcPr>
            <w:tcW w:w="1350"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w:t>
            </w:r>
          </w:p>
        </w:tc>
        <w:tc>
          <w:tcPr>
            <w:tcW w:w="1766"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无蔗糖全麦面包</w:t>
            </w:r>
          </w:p>
        </w:tc>
        <w:tc>
          <w:tcPr>
            <w:tcW w:w="2421" w:type="dxa"/>
            <w:vAlign w:val="center"/>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85g±5</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乳酸菌面包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90g±5</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蒙莫郎西老面包</w:t>
            </w:r>
          </w:p>
        </w:tc>
        <w:tc>
          <w:tcPr>
            <w:tcW w:w="2421" w:type="dxa"/>
            <w:vAlign w:val="center"/>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500g±40</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巴比熊南瓜小面包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500g±40</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蒙牛纯牛奶</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250ml*24瓶</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件</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飞鹤婴儿奶粉</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130g/听</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听</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名仁苏打水</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375ml*24瓶</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件</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脉动</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600ml*15瓶</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瓶</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红牛</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250ml*24瓶</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听</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纯甄酸奶</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10盒/提</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华正德苦荞沙琪玛</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708g±40</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袋</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维邦卷纸</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1800g</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766" w:type="dxa"/>
            <w:vAlign w:val="center"/>
          </w:tcPr>
          <w:p>
            <w:pPr>
              <w:pStyle w:val="16"/>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榄菊蚊香</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加大10圈</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盒</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二仙线香</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80g</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盒</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贝雅思卷纸</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1200g</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汰渍洗衣粉</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包</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灭害灵(中山凯达)</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600ml</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瓶</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乐山肥皂</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270g</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条</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青神纸</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件</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巴比熊吐司面包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都遇巴旦木蛋糕</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卡尔顿面包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达利园面包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布鲁托无糖蛋糕</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南星五谷面包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港荣乳酸菌蛋糕</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阿华田雪蓉蛋糕</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马大姐小面包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麦特旺肉松面包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秀峰香吐司面包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75g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福佳香酸奶面包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65g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盼盼千层面包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苏卫苦荞沙琪玛</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袋</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680</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伊利纯牛奶</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250ml*24</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花姿抽纸</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6包*150抽</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维邦抽纸</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6包*350张</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苏稽苦荞沙琪玛</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袋</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750</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widowControl/>
              <w:jc w:val="center"/>
              <w:rPr>
                <w:rFonts w:hint="eastAsia" w:ascii="仿宋" w:hAnsi="仿宋" w:eastAsia="仿宋" w:cs="仿宋"/>
                <w:sz w:val="32"/>
                <w:szCs w:val="32"/>
                <w:vertAlign w:val="baseline"/>
                <w:lang w:val="en-US" w:eastAsia="zh-CN"/>
              </w:rPr>
            </w:pPr>
          </w:p>
        </w:tc>
        <w:tc>
          <w:tcPr>
            <w:tcW w:w="2421" w:type="dxa"/>
            <w:vAlign w:val="center"/>
          </w:tcPr>
          <w:p>
            <w:pPr>
              <w:widowControl/>
              <w:jc w:val="center"/>
              <w:rPr>
                <w:rFonts w:hint="eastAsia" w:ascii="仿宋" w:hAnsi="仿宋" w:eastAsia="仿宋" w:cs="仿宋"/>
                <w:sz w:val="32"/>
                <w:szCs w:val="32"/>
                <w:vertAlign w:val="baseline"/>
                <w:lang w:val="en-US" w:eastAsia="zh-CN"/>
              </w:rPr>
            </w:pPr>
          </w:p>
        </w:tc>
        <w:tc>
          <w:tcPr>
            <w:tcW w:w="1350" w:type="dxa"/>
            <w:vAlign w:val="center"/>
          </w:tcPr>
          <w:p>
            <w:pPr>
              <w:widowControl/>
              <w:jc w:val="center"/>
              <w:rPr>
                <w:rFonts w:hint="eastAsia" w:ascii="仿宋" w:hAnsi="仿宋" w:eastAsia="仿宋" w:cs="仿宋"/>
                <w:sz w:val="32"/>
                <w:szCs w:val="32"/>
                <w:vertAlign w:val="baseline"/>
                <w:lang w:val="en-US" w:eastAsia="zh-CN"/>
              </w:rPr>
            </w:pPr>
          </w:p>
        </w:tc>
        <w:tc>
          <w:tcPr>
            <w:tcW w:w="1766"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bl>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0"/>
        </w:numPr>
        <w:spacing w:line="240" w:lineRule="auto"/>
        <w:ind w:left="63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1.响应时间：合同签订后1年内按照采购人需求分批次送货。</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2.服务要求：</w:t>
      </w:r>
      <w:bookmarkStart w:id="16" w:name="_GoBack"/>
      <w:r>
        <w:rPr>
          <w:rFonts w:hint="eastAsia" w:ascii="仿宋" w:hAnsi="仿宋" w:eastAsia="仿宋" w:cs="仿宋"/>
          <w:sz w:val="32"/>
          <w:szCs w:val="32"/>
          <w:lang w:val="en-US" w:eastAsia="zh-CN"/>
        </w:rPr>
        <w:t>按照配送要求必须保质、保量、按时完成配送</w:t>
      </w:r>
      <w:r>
        <w:rPr>
          <w:rFonts w:hint="eastAsia" w:ascii="仿宋" w:hAnsi="仿宋" w:eastAsia="仿宋" w:cs="仿宋"/>
          <w:sz w:val="32"/>
          <w:szCs w:val="32"/>
          <w:lang w:val="en-US" w:eastAsia="zh-CN"/>
        </w:rPr>
        <w:t>。</w:t>
      </w:r>
    </w:p>
    <w:bookmarkEnd w:id="16"/>
    <w:p>
      <w:pPr>
        <w:pStyle w:val="16"/>
        <w:numPr>
          <w:ilvl w:val="0"/>
          <w:numId w:val="0"/>
        </w:numPr>
        <w:spacing w:line="240" w:lineRule="auto"/>
        <w:ind w:left="0" w:leftChars="0" w:firstLine="630" w:firstLineChars="197"/>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3.服务期限：服务期限三年，合同一年一签（如遇政策变化，比选人可以单方解除合同，不涉及违约赔偿事项）。</w:t>
      </w:r>
    </w:p>
    <w:p>
      <w:pPr>
        <w:pStyle w:val="16"/>
        <w:numPr>
          <w:ilvl w:val="0"/>
          <w:numId w:val="0"/>
        </w:numPr>
        <w:spacing w:line="240" w:lineRule="auto"/>
        <w:ind w:left="46" w:leftChars="22" w:firstLine="582" w:firstLineChars="18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4.履约要求：本项目合同一年一签，根据服务情况最长可签不超过三年的合同。</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5.付款方式：结算算金额按前述的“食品类采购清单各项单价最高限价”结合供应商报价综合下浮比例计算。</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本项目结算实行按月结算，成交供应商按采购人当月订单需求完成货物配送，采购人与成交供应商进行确认并在收到供应商提供的正规完税发票后90个工作日内结算款项。</w:t>
      </w:r>
    </w:p>
    <w:p>
      <w:pPr>
        <w:numPr>
          <w:ilvl w:val="0"/>
          <w:numId w:val="0"/>
        </w:num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6.质量</w:t>
      </w:r>
      <w:r>
        <w:rPr>
          <w:rFonts w:hint="eastAsia" w:ascii="仿宋" w:hAnsi="仿宋" w:eastAsia="仿宋" w:cs="仿宋"/>
          <w:kern w:val="2"/>
          <w:sz w:val="32"/>
          <w:szCs w:val="32"/>
          <w:lang w:val="en-US" w:eastAsia="zh-CN" w:bidi="ar-SA"/>
        </w:rPr>
        <w:t>要求：保证产品品质，严格遵守国家食品卫生安全条例之规定，如所供食品出现安全、卫生等方面的质量问题，造成的经济和法律责任由供应商全部承担。</w:t>
      </w:r>
    </w:p>
    <w:p>
      <w:pPr>
        <w:spacing w:line="44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7.</w:t>
      </w:r>
      <w:r>
        <w:rPr>
          <w:rFonts w:hint="eastAsia" w:ascii="仿宋" w:hAnsi="仿宋" w:eastAsia="仿宋" w:cs="仿宋"/>
          <w:bCs/>
          <w:sz w:val="32"/>
          <w:szCs w:val="32"/>
        </w:rPr>
        <w:t>比选人在签订合同前，将到成交人处进行实地考察，若发现成交人进行虚假承诺或者虚假应标，将按照相关规定追求其法律责任。配送服务期内，为了及时了解成交人履行合同的情况，比选人对成交人采取日常考评和月考评相结合的方式进行考核，比选人有权对综合考核标准进行修改调整。</w:t>
      </w:r>
    </w:p>
    <w:p>
      <w:pPr>
        <w:spacing w:line="4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日常考评</w:t>
      </w:r>
    </w:p>
    <w:p>
      <w:pPr>
        <w:spacing w:line="4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①根据各项服务日常检查和处罚标准对配送服务质量进行的考核。</w:t>
      </w:r>
    </w:p>
    <w:p>
      <w:pPr>
        <w:spacing w:line="4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②由管理人员将检查结果进行汇总，以备在每月食材费用支付时扣除。 </w:t>
      </w:r>
    </w:p>
    <w:p>
      <w:pPr>
        <w:pStyle w:val="5"/>
        <w:rPr>
          <w:rFonts w:hint="default"/>
          <w:lang w:val="en-US" w:eastAsia="zh-CN"/>
        </w:rPr>
      </w:pPr>
      <w:r>
        <w:rPr>
          <w:rFonts w:hint="eastAsia"/>
          <w:lang w:val="en-US" w:eastAsia="zh-CN"/>
        </w:rPr>
        <w:t xml:space="preserve">      </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8.违约责任及解决争议的方法：合同履行期间，若双方发生争议，可协商或由有关部门协调解决，协商或协调不成功的，双方均可向五通桥区人民法院提起诉讼依法维护其合法权益。</w:t>
      </w:r>
    </w:p>
    <w:p>
      <w:pPr>
        <w:rPr>
          <w:rFonts w:hint="eastAsia" w:ascii="黑体" w:hAnsi="黑体" w:eastAsia="黑体" w:cs="黑体"/>
          <w:lang w:eastAsia="zh-CN"/>
        </w:rPr>
      </w:pPr>
    </w:p>
    <w:p>
      <w:pPr>
        <w:pStyle w:val="3"/>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16"/>
        <w:rPr>
          <w:rFonts w:hint="eastAsia" w:ascii="黑体" w:hAnsi="黑体" w:eastAsia="黑体" w:cs="黑体"/>
          <w:lang w:eastAsia="zh-CN"/>
        </w:rPr>
      </w:pPr>
    </w:p>
    <w:p>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Layout w:type="fixed"/>
        <w:tblCellMar>
          <w:top w:w="0" w:type="dxa"/>
          <w:left w:w="108" w:type="dxa"/>
          <w:bottom w:w="0" w:type="dxa"/>
          <w:right w:w="108" w:type="dxa"/>
        </w:tblCellMar>
      </w:tblPr>
      <w:tblGrid>
        <w:gridCol w:w="579"/>
        <w:gridCol w:w="1023"/>
        <w:gridCol w:w="860"/>
        <w:gridCol w:w="6510"/>
        <w:gridCol w:w="986"/>
      </w:tblGrid>
      <w:tr>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30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满足招标文件要求且投标价格最低的投标报价为评标基准价，其价格分为满分。其他供应商的价格分统一按照下列公式计算：投标报价得分=(评标基准价÷投标报价)×30%×100；（最低价基准法）</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实施方案</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54</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提供针对本项目的配送方案【至少包含①食品安全管理；②配送时间安排；③配送路线；④应急预案；⑤疫情期间配送措施】进行综合比较评分，方案科学合理、符合采购需求且无缺少得满分15分，每有一项方案内容缺失或未涉及的扣3分；每有一项方案不完整或无工作重点或不完全满足本项目需求的扣1.5分，</w:t>
            </w:r>
          </w:p>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供应商根据本项目特点，提供针对本项目的售后服务方案【至少包含①售后服务管理制度②人员分配③报废处理办法④退换货机制】进行综合比较评分，方案科学合理、符合采购需求且无缺少得满分12分，每有一项方案内容缺失或未涉及的扣3分；每有一项方案不完整或无工作重点或不完全满足本项目需求的扣1.5分，</w:t>
            </w:r>
          </w:p>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3,供应商根据本项目特点，提供针对本项目的管理制度【至少包含①本项目工作人员的管理制度；②食材原料出入库管理制度；③食材库房卫生；④安全查验记录制度；⑤食品安全运送制度；⑥库房安全管理制度；⑦生鲜蔬果类农残检验制度；</w:t>
            </w:r>
            <w:r>
              <w:rPr>
                <w:rFonts w:hint="eastAsia" w:ascii="仿宋" w:hAnsi="仿宋" w:eastAsia="仿宋" w:cs="仿宋"/>
                <w:kern w:val="1"/>
                <w:sz w:val="32"/>
                <w:szCs w:val="32"/>
                <w:lang w:val="en-US" w:eastAsia="zh-CN"/>
              </w:rPr>
              <w:fldChar w:fldCharType="begin"/>
            </w:r>
            <w:r>
              <w:rPr>
                <w:rFonts w:hint="eastAsia" w:ascii="仿宋" w:hAnsi="仿宋" w:eastAsia="仿宋" w:cs="仿宋"/>
                <w:kern w:val="1"/>
                <w:sz w:val="32"/>
                <w:szCs w:val="32"/>
                <w:lang w:val="en-US" w:eastAsia="zh-CN"/>
              </w:rPr>
              <w:instrText xml:space="preserve"> EQ \o\ac(○,8)</w:instrText>
            </w:r>
            <w:r>
              <w:rPr>
                <w:rFonts w:hint="eastAsia" w:ascii="仿宋" w:hAnsi="仿宋" w:eastAsia="仿宋" w:cs="仿宋"/>
                <w:kern w:val="1"/>
                <w:sz w:val="32"/>
                <w:szCs w:val="32"/>
                <w:lang w:val="en-US" w:eastAsia="zh-CN"/>
              </w:rPr>
              <w:fldChar w:fldCharType="end"/>
            </w:r>
            <w:r>
              <w:rPr>
                <w:rFonts w:hint="eastAsia" w:ascii="仿宋" w:hAnsi="仿宋" w:eastAsia="仿宋" w:cs="仿宋"/>
                <w:kern w:val="1"/>
                <w:sz w:val="32"/>
                <w:szCs w:val="32"/>
                <w:lang w:val="en-US" w:eastAsia="zh-CN"/>
              </w:rPr>
              <w:t>食品原材料留样制度】进行综合比较评分，方案科学合理、符合采购需求且无缺少得满分24分，每有一项方案内容缺失或未涉及的扣3分；每有一项方案不完整或无工作重点或不完全满足本项目需求的扣1.5分，</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73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p>
          <w:p>
            <w:pPr>
              <w:spacing w:line="320" w:lineRule="atLeast"/>
              <w:jc w:val="center"/>
              <w:rPr>
                <w:rFonts w:hint="default" w:ascii="仿宋" w:hAnsi="仿宋" w:eastAsia="仿宋" w:cs="仿宋"/>
                <w:kern w:val="1"/>
                <w:sz w:val="32"/>
                <w:szCs w:val="32"/>
                <w:lang w:val="en-US" w:eastAsia="zh-CN"/>
              </w:rPr>
            </w:pPr>
            <w:r>
              <w:rPr>
                <w:rFonts w:hint="eastAsia" w:ascii="仿宋" w:hAnsi="仿宋" w:eastAsia="仿宋" w:cs="仿宋"/>
                <w:kern w:val="1"/>
                <w:sz w:val="32"/>
                <w:szCs w:val="32"/>
              </w:rPr>
              <w:t>配送能力</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配送服务人员有1人得3分，每增加一人加1分，本项最高得5分。</w:t>
            </w:r>
          </w:p>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有专车配送车辆1辆的得3分，每增加一辆加1分，本项最高得5分；（自有车辆提供行驶证或租赁车辆提供租赁协议和行驶证）。</w:t>
            </w:r>
          </w:p>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注：提供上述要求相关证明材料的复印件并加盖单位公章。</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73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类似业绩</w:t>
            </w:r>
          </w:p>
          <w:p>
            <w:pPr>
              <w:rPr>
                <w:rFonts w:hint="eastAsia" w:ascii="仿宋" w:hAnsi="仿宋" w:eastAsia="仿宋" w:cs="仿宋"/>
                <w:kern w:val="1"/>
                <w:sz w:val="32"/>
                <w:szCs w:val="32"/>
                <w:lang w:val="en-US" w:eastAsia="zh-CN"/>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6</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2022年以来提供采购的类似业绩得2分，本项最高得6分。（提供供货合同复印件并加盖投标人公章）</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lowerLetter"/>
      <w:pStyle w:val="32"/>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2A2E0B2"/>
    <w:multiLevelType w:val="singleLevel"/>
    <w:tmpl w:val="62A2E0B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jQ3NjQzNjBhMjc1NTk2MjAxYjdlZWIyOWJmNmEifQ=="/>
  </w:docVars>
  <w:rsids>
    <w:rsidRoot w:val="20B86F62"/>
    <w:rsid w:val="00FE51BA"/>
    <w:rsid w:val="01510BEF"/>
    <w:rsid w:val="01724615"/>
    <w:rsid w:val="01AC44D5"/>
    <w:rsid w:val="01DA1F83"/>
    <w:rsid w:val="01E30476"/>
    <w:rsid w:val="02653FAC"/>
    <w:rsid w:val="038264FB"/>
    <w:rsid w:val="03E45948"/>
    <w:rsid w:val="03EB6F22"/>
    <w:rsid w:val="047A7398"/>
    <w:rsid w:val="04976AF6"/>
    <w:rsid w:val="05813897"/>
    <w:rsid w:val="05B93485"/>
    <w:rsid w:val="05DD44EC"/>
    <w:rsid w:val="05FA4A68"/>
    <w:rsid w:val="06C83EF1"/>
    <w:rsid w:val="07620DB2"/>
    <w:rsid w:val="07860322"/>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729423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C747071"/>
    <w:rsid w:val="1CC929E6"/>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552AFD"/>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98652B"/>
    <w:rsid w:val="30A47F0F"/>
    <w:rsid w:val="31AE2E30"/>
    <w:rsid w:val="31C81974"/>
    <w:rsid w:val="32145B6C"/>
    <w:rsid w:val="32482F63"/>
    <w:rsid w:val="32887A79"/>
    <w:rsid w:val="3367096B"/>
    <w:rsid w:val="34015BA1"/>
    <w:rsid w:val="34104944"/>
    <w:rsid w:val="34306EB2"/>
    <w:rsid w:val="34607C42"/>
    <w:rsid w:val="34AD3121"/>
    <w:rsid w:val="35850C85"/>
    <w:rsid w:val="358537EA"/>
    <w:rsid w:val="36206E51"/>
    <w:rsid w:val="3645059F"/>
    <w:rsid w:val="36FA0C0E"/>
    <w:rsid w:val="37124698"/>
    <w:rsid w:val="37564C34"/>
    <w:rsid w:val="37AF0C3F"/>
    <w:rsid w:val="380F7012"/>
    <w:rsid w:val="381338B3"/>
    <w:rsid w:val="387820A1"/>
    <w:rsid w:val="391D2725"/>
    <w:rsid w:val="39241426"/>
    <w:rsid w:val="3A0A5821"/>
    <w:rsid w:val="3AE30FAC"/>
    <w:rsid w:val="3B3A67B9"/>
    <w:rsid w:val="3B572D45"/>
    <w:rsid w:val="3BB47094"/>
    <w:rsid w:val="3BD82555"/>
    <w:rsid w:val="3C396CD8"/>
    <w:rsid w:val="3D912EF9"/>
    <w:rsid w:val="3DA25E25"/>
    <w:rsid w:val="3E103198"/>
    <w:rsid w:val="3E5C675F"/>
    <w:rsid w:val="3EA01CA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B91D0A"/>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DCC69FF"/>
    <w:rsid w:val="4E027C82"/>
    <w:rsid w:val="4E1C022A"/>
    <w:rsid w:val="4E1E1D89"/>
    <w:rsid w:val="4FA771C2"/>
    <w:rsid w:val="4FDC7DDA"/>
    <w:rsid w:val="5003209D"/>
    <w:rsid w:val="504D5D91"/>
    <w:rsid w:val="508E2B4E"/>
    <w:rsid w:val="511630A7"/>
    <w:rsid w:val="524A480D"/>
    <w:rsid w:val="5263348D"/>
    <w:rsid w:val="527E7420"/>
    <w:rsid w:val="5292301A"/>
    <w:rsid w:val="52C10CD7"/>
    <w:rsid w:val="52F64CB8"/>
    <w:rsid w:val="52FB39A7"/>
    <w:rsid w:val="531641E9"/>
    <w:rsid w:val="5446604D"/>
    <w:rsid w:val="547E1AE0"/>
    <w:rsid w:val="54D83CF8"/>
    <w:rsid w:val="54F554AC"/>
    <w:rsid w:val="551A0D5D"/>
    <w:rsid w:val="55EE4C06"/>
    <w:rsid w:val="561A148B"/>
    <w:rsid w:val="565B213D"/>
    <w:rsid w:val="566D3795"/>
    <w:rsid w:val="56D444B4"/>
    <w:rsid w:val="572D0183"/>
    <w:rsid w:val="57567F4A"/>
    <w:rsid w:val="57667B7B"/>
    <w:rsid w:val="578D66D2"/>
    <w:rsid w:val="58367041"/>
    <w:rsid w:val="583A1E71"/>
    <w:rsid w:val="584A40DF"/>
    <w:rsid w:val="589814E3"/>
    <w:rsid w:val="58B077A4"/>
    <w:rsid w:val="58B969E6"/>
    <w:rsid w:val="58C42CE6"/>
    <w:rsid w:val="59035A6B"/>
    <w:rsid w:val="592C7507"/>
    <w:rsid w:val="59A37B89"/>
    <w:rsid w:val="59D35B7E"/>
    <w:rsid w:val="5AD77D82"/>
    <w:rsid w:val="5B134CBA"/>
    <w:rsid w:val="5B214FE3"/>
    <w:rsid w:val="5C557763"/>
    <w:rsid w:val="5CC74DB0"/>
    <w:rsid w:val="5DA41796"/>
    <w:rsid w:val="5DC167D7"/>
    <w:rsid w:val="5E190D4D"/>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A16A84"/>
    <w:rsid w:val="6BF5199F"/>
    <w:rsid w:val="6C81461E"/>
    <w:rsid w:val="6CE610BF"/>
    <w:rsid w:val="6CED312F"/>
    <w:rsid w:val="6D1916FD"/>
    <w:rsid w:val="6D226C43"/>
    <w:rsid w:val="6D535020"/>
    <w:rsid w:val="6D8B0E30"/>
    <w:rsid w:val="6DCF5925"/>
    <w:rsid w:val="6E383ABA"/>
    <w:rsid w:val="6E8B493F"/>
    <w:rsid w:val="6EA3545A"/>
    <w:rsid w:val="6F9F7F7D"/>
    <w:rsid w:val="719A4F83"/>
    <w:rsid w:val="71DE50A5"/>
    <w:rsid w:val="722B548E"/>
    <w:rsid w:val="722E4AEA"/>
    <w:rsid w:val="73683978"/>
    <w:rsid w:val="73F43F5E"/>
    <w:rsid w:val="7438150C"/>
    <w:rsid w:val="746F037C"/>
    <w:rsid w:val="74F82EAA"/>
    <w:rsid w:val="75457DB7"/>
    <w:rsid w:val="7563067A"/>
    <w:rsid w:val="758D0699"/>
    <w:rsid w:val="75E55D62"/>
    <w:rsid w:val="76466533"/>
    <w:rsid w:val="77F97E1C"/>
    <w:rsid w:val="785111E8"/>
    <w:rsid w:val="78E831F4"/>
    <w:rsid w:val="79AC141B"/>
    <w:rsid w:val="79B51E35"/>
    <w:rsid w:val="79EA27D4"/>
    <w:rsid w:val="7A9C5C09"/>
    <w:rsid w:val="7AE23540"/>
    <w:rsid w:val="7B174437"/>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autoRedefine/>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autoRedefine/>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pPr>
      <w:spacing w:after="120" w:afterLines="0" w:afterAutospacing="0"/>
    </w:pPr>
  </w:style>
  <w:style w:type="paragraph" w:customStyle="1" w:styleId="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Indent"/>
    <w:basedOn w:val="1"/>
    <w:next w:val="8"/>
    <w:autoRedefine/>
    <w:qFormat/>
    <w:uiPriority w:val="0"/>
    <w:pPr>
      <w:spacing w:after="120" w:afterLines="0"/>
      <w:ind w:left="420" w:leftChars="200"/>
    </w:pPr>
  </w:style>
  <w:style w:type="paragraph" w:styleId="8">
    <w:name w:val="envelope return"/>
    <w:basedOn w:val="1"/>
    <w:autoRedefine/>
    <w:qFormat/>
    <w:uiPriority w:val="0"/>
    <w:pPr>
      <w:snapToGrid w:val="0"/>
    </w:pPr>
    <w:rPr>
      <w:rFonts w:ascii="Arial" w:hAnsi="Arial"/>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9628"/>
      </w:tabs>
      <w:spacing w:line="360" w:lineRule="auto"/>
      <w:jc w:val="center"/>
    </w:pPr>
  </w:style>
  <w:style w:type="paragraph" w:styleId="1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autoRedefine/>
    <w:qFormat/>
    <w:uiPriority w:val="0"/>
    <w:pPr>
      <w:ind w:firstLine="420" w:firstLineChars="100"/>
    </w:pPr>
    <w:rPr>
      <w:rFonts w:ascii="Times New Roman" w:hAnsi="Times New Roman" w:eastAsia="宋体" w:cs="Times New Roma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autoRedefine/>
    <w:qFormat/>
    <w:uiPriority w:val="0"/>
    <w:rPr>
      <w:color w:val="0000FF"/>
      <w:u w:val="single"/>
    </w:rPr>
  </w:style>
  <w:style w:type="paragraph" w:customStyle="1" w:styleId="22">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3">
    <w:name w:val="Quote"/>
    <w:basedOn w:val="1"/>
    <w:next w:val="1"/>
    <w:autoRedefine/>
    <w:qFormat/>
    <w:uiPriority w:val="0"/>
    <w:rPr>
      <w:i/>
      <w:iCs/>
      <w:color w:val="000000"/>
      <w:szCs w:val="22"/>
    </w:rPr>
  </w:style>
  <w:style w:type="character" w:customStyle="1" w:styleId="24">
    <w:name w:val="标题 1 Char"/>
    <w:link w:val="2"/>
    <w:autoRedefine/>
    <w:qFormat/>
    <w:uiPriority w:val="0"/>
    <w:rPr>
      <w:rFonts w:hint="eastAsia" w:ascii="Times New Roman" w:hAnsi="Times New Roman" w:eastAsia="宋体"/>
      <w:b/>
      <w:color w:val="000000"/>
      <w:kern w:val="44"/>
      <w:sz w:val="44"/>
      <w:lang w:val="zh-CN"/>
    </w:rPr>
  </w:style>
  <w:style w:type="paragraph" w:customStyle="1" w:styleId="25">
    <w:name w:val="正文首行缩进两字符"/>
    <w:basedOn w:val="1"/>
    <w:autoRedefine/>
    <w:qFormat/>
    <w:uiPriority w:val="0"/>
    <w:pPr>
      <w:spacing w:line="360" w:lineRule="auto"/>
      <w:ind w:firstLine="200" w:firstLineChars="200"/>
    </w:pPr>
  </w:style>
  <w:style w:type="character" w:customStyle="1" w:styleId="26">
    <w:name w:val="font21"/>
    <w:basedOn w:val="19"/>
    <w:autoRedefine/>
    <w:qFormat/>
    <w:uiPriority w:val="0"/>
    <w:rPr>
      <w:rFonts w:ascii="Calibri" w:hAnsi="Calibri" w:cs="Calibri"/>
      <w:color w:val="000000"/>
      <w:sz w:val="18"/>
      <w:szCs w:val="18"/>
      <w:u w:val="none"/>
    </w:rPr>
  </w:style>
  <w:style w:type="character" w:customStyle="1" w:styleId="27">
    <w:name w:val="font01"/>
    <w:basedOn w:val="19"/>
    <w:autoRedefine/>
    <w:qFormat/>
    <w:uiPriority w:val="0"/>
    <w:rPr>
      <w:rFonts w:hint="eastAsia" w:ascii="宋体" w:hAnsi="宋体" w:eastAsia="宋体" w:cs="宋体"/>
      <w:color w:val="000000"/>
      <w:sz w:val="18"/>
      <w:szCs w:val="18"/>
      <w:u w:val="none"/>
    </w:rPr>
  </w:style>
  <w:style w:type="paragraph" w:styleId="28">
    <w:name w:val="List Paragraph"/>
    <w:basedOn w:val="1"/>
    <w:autoRedefine/>
    <w:qFormat/>
    <w:uiPriority w:val="34"/>
    <w:pPr>
      <w:ind w:firstLine="420" w:firstLineChars="200"/>
    </w:pPr>
    <w:rPr>
      <w:rFonts w:ascii="Calibri" w:hAnsi="Calibri" w:eastAsia="宋体" w:cs="Times New Roman"/>
      <w:sz w:val="21"/>
      <w:szCs w:val="22"/>
    </w:rPr>
  </w:style>
  <w:style w:type="paragraph" w:customStyle="1" w:styleId="29">
    <w:name w:val="文章正文"/>
    <w:basedOn w:val="1"/>
    <w:autoRedefine/>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30">
    <w:name w:val="_Style 1"/>
    <w:basedOn w:val="1"/>
    <w:autoRedefine/>
    <w:qFormat/>
    <w:uiPriority w:val="34"/>
    <w:pPr>
      <w:ind w:firstLine="420" w:firstLineChars="200"/>
    </w:pPr>
  </w:style>
  <w:style w:type="paragraph" w:customStyle="1" w:styleId="31">
    <w:name w:val="null3"/>
    <w:hidden/>
    <w:qFormat/>
    <w:uiPriority w:val="0"/>
    <w:rPr>
      <w:rFonts w:hint="eastAsia" w:asciiTheme="minorHAnsi" w:hAnsiTheme="minorHAnsi" w:eastAsiaTheme="minorEastAsia" w:cstheme="minorBidi"/>
      <w:lang w:val="en-US" w:eastAsia="zh-Hans"/>
    </w:rPr>
  </w:style>
  <w:style w:type="paragraph" w:customStyle="1" w:styleId="32">
    <w:name w:val="标题 5（有编号）（绿盟科技）"/>
    <w:basedOn w:val="1"/>
    <w:next w:val="3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3">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21</Pages>
  <Words>9219</Words>
  <Characters>9829</Characters>
  <Lines>0</Lines>
  <Paragraphs>0</Paragraphs>
  <TotalTime>32</TotalTime>
  <ScaleCrop>false</ScaleCrop>
  <LinksUpToDate>false</LinksUpToDate>
  <CharactersWithSpaces>10055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WPS_1688969467</cp:lastModifiedBy>
  <cp:lastPrinted>2024-06-26T00:09:00Z</cp:lastPrinted>
  <dcterms:modified xsi:type="dcterms:W3CDTF">2024-06-26T09:10:19Z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6F48A25E1CA9488A9F55693863D49B3D</vt:lpwstr>
  </property>
</Properties>
</file>