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pPr>
        <w:pStyle w:val="7"/>
        <w:rPr>
          <w:rFonts w:hint="eastAsia" w:ascii="黑体" w:hAnsi="黑体" w:eastAsia="黑体" w:cs="黑体"/>
          <w:lang w:eastAsia="zh-CN"/>
        </w:rPr>
      </w:pPr>
    </w:p>
    <w:p>
      <w:pPr>
        <w:jc w:val="center"/>
        <w:rPr>
          <w:rFonts w:hint="eastAsia" w:ascii="黑体" w:hAnsi="黑体" w:eastAsia="黑体" w:cs="黑体"/>
          <w:sz w:val="32"/>
          <w:szCs w:val="32"/>
          <w:lang w:eastAsia="zh-CN"/>
        </w:rPr>
      </w:pPr>
      <w:r>
        <w:rPr>
          <w:rFonts w:hint="eastAsia" w:ascii="黑体" w:hAnsi="黑体" w:eastAsia="黑体" w:cs="黑体"/>
          <w:color w:val="FF0000"/>
          <w:sz w:val="52"/>
          <w:szCs w:val="52"/>
          <w:lang w:val="en-US" w:eastAsia="zh-CN"/>
        </w:rPr>
        <w:t>春游活动比选</w:t>
      </w:r>
      <w:r>
        <w:rPr>
          <w:rFonts w:hint="eastAsia" w:ascii="黑体" w:hAnsi="黑体" w:eastAsia="黑体" w:cs="黑体"/>
          <w:sz w:val="52"/>
          <w:szCs w:val="52"/>
          <w:lang w:eastAsia="zh-CN"/>
        </w:rPr>
        <w:t>文件</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40"/>
          <w:szCs w:val="40"/>
          <w:lang w:eastAsia="zh-CN"/>
        </w:rPr>
      </w:pPr>
    </w:p>
    <w:p>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项目名</w:t>
      </w:r>
      <w:r>
        <w:rPr>
          <w:rFonts w:hint="eastAsia" w:ascii="黑体" w:hAnsi="黑体" w:eastAsia="黑体" w:cs="黑体"/>
          <w:sz w:val="40"/>
          <w:szCs w:val="40"/>
          <w:lang w:val="en-US" w:eastAsia="zh-CN"/>
        </w:rPr>
        <w:t>称：春游活动</w:t>
      </w:r>
    </w:p>
    <w:p>
      <w:pPr>
        <w:pStyle w:val="7"/>
        <w:rPr>
          <w:rFonts w:hint="eastAsia" w:ascii="黑体" w:hAnsi="黑体" w:eastAsia="黑体" w:cs="黑体"/>
          <w:lang w:val="en-US" w:eastAsia="zh-CN"/>
        </w:rPr>
      </w:pPr>
    </w:p>
    <w:p>
      <w:pPr>
        <w:jc w:val="center"/>
        <w:rPr>
          <w:rFonts w:hint="eastAsia" w:ascii="黑体" w:hAnsi="黑体" w:eastAsia="黑体" w:cs="黑体"/>
          <w:sz w:val="40"/>
          <w:szCs w:val="40"/>
          <w:lang w:val="en-US"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YNCG2024002</w:t>
      </w: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2024年3月</w:t>
      </w:r>
      <w:r>
        <w:rPr>
          <w:rFonts w:hint="eastAsia" w:ascii="黑体" w:hAnsi="黑体" w:eastAsia="黑体" w:cs="黑体"/>
          <w:sz w:val="40"/>
          <w:szCs w:val="40"/>
          <w:lang w:eastAsia="zh-CN"/>
        </w:rPr>
        <w:br w:type="page"/>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pPr>
        <w:jc w:val="center"/>
        <w:rPr>
          <w:rFonts w:hint="eastAsia" w:ascii="黑体" w:hAnsi="黑体" w:eastAsia="黑体" w:cs="黑体"/>
          <w:sz w:val="36"/>
          <w:szCs w:val="36"/>
          <w:lang w:eastAsia="zh-CN"/>
        </w:rPr>
      </w:pPr>
      <w:r>
        <w:rPr>
          <w:rFonts w:hint="eastAsia" w:ascii="黑体" w:hAnsi="黑体" w:eastAsia="黑体" w:cs="黑体"/>
          <w:color w:val="FF0000"/>
          <w:sz w:val="36"/>
          <w:szCs w:val="36"/>
          <w:lang w:val="en-US" w:eastAsia="zh-CN"/>
        </w:rPr>
        <w:t>春游活动</w:t>
      </w:r>
      <w:r>
        <w:rPr>
          <w:rFonts w:hint="eastAsia" w:ascii="黑体" w:hAnsi="黑体" w:eastAsia="黑体" w:cs="黑体"/>
          <w:sz w:val="36"/>
          <w:szCs w:val="36"/>
          <w:lang w:val="en-US" w:eastAsia="zh-CN"/>
        </w:rPr>
        <w:t>比选</w:t>
      </w:r>
      <w:r>
        <w:rPr>
          <w:rFonts w:hint="eastAsia" w:ascii="黑体" w:hAnsi="黑体" w:eastAsia="黑体" w:cs="黑体"/>
          <w:sz w:val="36"/>
          <w:szCs w:val="36"/>
          <w:lang w:eastAsia="zh-CN"/>
        </w:rPr>
        <w:t>公告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eastAsia="zh-CN"/>
        </w:rPr>
        <w:t>项目采</w:t>
      </w:r>
      <w:r>
        <w:rPr>
          <w:rFonts w:hint="eastAsia" w:ascii="仿宋" w:hAnsi="仿宋" w:eastAsia="仿宋" w:cs="仿宋"/>
          <w:color w:val="555555"/>
          <w:kern w:val="0"/>
          <w:sz w:val="32"/>
          <w:szCs w:val="32"/>
          <w:lang w:val="en-US" w:eastAsia="zh-CN"/>
        </w:rPr>
        <w:t>购编号：YNCG2024002，项目包数量：1个</w:t>
      </w:r>
    </w:p>
    <w:p>
      <w:pPr>
        <w:pStyle w:val="16"/>
        <w:spacing w:line="240" w:lineRule="auto"/>
        <w:rPr>
          <w:rFonts w:hint="default"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二、项目背景：2024年组织春游活动   限价：170元/人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三、采购项目内容（详细要求请看附件）：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参加采购的供应商数量：三家及以上；在乐山市五通桥区人民医院官方网站上发布公告（https://www.wtqqrmyy.com/）；本项目若有补遗或更正公告会在官网上发布，请参加采购的供应商随时关注；若因以上原因造成的损失由供应商自行负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eastAsia="zh-CN"/>
        </w:rPr>
        <w:t>五、供应商参加本次采购活动提交资料中，具备以下要求：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555555"/>
          <w:kern w:val="0"/>
          <w:sz w:val="32"/>
          <w:szCs w:val="32"/>
          <w:lang w:val="en-US" w:eastAsia="zh-CN"/>
        </w:rPr>
        <w:t>1.具有独立承担民事责任的能力；依法缴纳税收和社会保障资金的良好记录。</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2.具有良好的商业制度和健全的财务制度；履行合同所必须的设备和专业技术能力。</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3.参加本次采购活动前三年内，在经营活动中没有重大违法记录。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4.</w:t>
      </w:r>
      <w:r>
        <w:rPr>
          <w:rFonts w:hint="eastAsia" w:ascii="仿宋" w:hAnsi="仿宋" w:eastAsia="仿宋" w:cs="仿宋"/>
          <w:color w:val="555555"/>
          <w:kern w:val="0"/>
          <w:sz w:val="32"/>
          <w:szCs w:val="32"/>
        </w:rPr>
        <w:t>公司的营业执照（</w:t>
      </w:r>
      <w:r>
        <w:rPr>
          <w:rFonts w:hint="eastAsia" w:ascii="仿宋" w:hAnsi="仿宋" w:eastAsia="仿宋" w:cs="仿宋"/>
          <w:color w:val="555555"/>
          <w:kern w:val="0"/>
          <w:sz w:val="32"/>
          <w:szCs w:val="32"/>
          <w:lang w:eastAsia="zh-CN"/>
        </w:rPr>
        <w:t>三证合一</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复印件</w:t>
      </w:r>
      <w:r>
        <w:rPr>
          <w:rFonts w:hint="eastAsia" w:ascii="仿宋" w:hAnsi="仿宋" w:eastAsia="仿宋" w:cs="仿宋"/>
          <w:color w:val="555555"/>
          <w:kern w:val="0"/>
          <w:sz w:val="32"/>
          <w:szCs w:val="32"/>
        </w:rPr>
        <w:t>加盖鲜章</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法定代表人授权委托书（法定代表人参与的须提供法定代表人证明书）</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法定代表人和授权代表的身份证</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必须具备有效期内的《旅行社业务经营许可证》（许可经营业务范围须包含国内旅游业务）</w:t>
      </w:r>
      <w:r>
        <w:rPr>
          <w:rFonts w:hint="eastAsia" w:ascii="仿宋" w:hAnsi="仿宋" w:eastAsia="仿宋" w:cs="仿宋"/>
          <w:color w:val="555555"/>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5.报价以及资料，采购响应文件封面请注明项目名称、联系人、联系电话、自行密封并加盖公章。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以上资料至少2套，请满足上述资质要求的供应商于</w:t>
      </w:r>
      <w:r>
        <w:rPr>
          <w:rFonts w:hint="eastAsia" w:ascii="仿宋" w:hAnsi="仿宋" w:eastAsia="仿宋" w:cs="仿宋"/>
          <w:color w:val="FF0000"/>
          <w:kern w:val="0"/>
          <w:sz w:val="32"/>
          <w:szCs w:val="32"/>
          <w:lang w:val="en-US" w:eastAsia="zh-CN"/>
        </w:rPr>
        <w:t>2023年3月13</w:t>
      </w:r>
      <w:bookmarkStart w:id="16" w:name="_GoBack"/>
      <w:bookmarkEnd w:id="16"/>
      <w:r>
        <w:rPr>
          <w:rFonts w:hint="eastAsia" w:ascii="仿宋" w:hAnsi="仿宋" w:eastAsia="仿宋" w:cs="仿宋"/>
          <w:color w:val="FF0000"/>
          <w:kern w:val="0"/>
          <w:sz w:val="32"/>
          <w:szCs w:val="32"/>
          <w:lang w:val="en-US" w:eastAsia="zh-CN"/>
        </w:rPr>
        <w:t>日16:30</w:t>
      </w:r>
      <w:r>
        <w:rPr>
          <w:rFonts w:hint="eastAsia" w:ascii="仿宋" w:hAnsi="仿宋" w:eastAsia="仿宋" w:cs="仿宋"/>
          <w:color w:val="555555"/>
          <w:kern w:val="0"/>
          <w:sz w:val="32"/>
          <w:szCs w:val="32"/>
          <w:lang w:val="en-US" w:eastAsia="zh-CN"/>
        </w:rPr>
        <w:t>之前将资料送至乐山市五通桥区人民医院采购办（行政楼三楼楼梯处），在截至时间以后送到的响应文件将被拒绝并退还给供应商。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六、其他要求（参加采购的供应商视为全部接受以下条款）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1.方案报价在60日内有效，报价包括文件编制、差旅、人工等费用。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2.在供应商满足相关资质要求及服务要求的条件下，采购采用</w:t>
      </w:r>
      <w:r>
        <w:rPr>
          <w:rFonts w:hint="eastAsia" w:ascii="仿宋" w:hAnsi="仿宋" w:eastAsia="仿宋" w:cs="仿宋"/>
          <w:color w:val="FF0000"/>
          <w:kern w:val="0"/>
          <w:sz w:val="32"/>
          <w:szCs w:val="32"/>
          <w:lang w:val="en-US" w:eastAsia="zh-CN"/>
        </w:rPr>
        <w:t>综合评分法</w:t>
      </w:r>
      <w:r>
        <w:rPr>
          <w:rFonts w:hint="eastAsia" w:ascii="仿宋" w:hAnsi="仿宋" w:eastAsia="仿宋" w:cs="仿宋"/>
          <w:color w:val="555555"/>
          <w:kern w:val="0"/>
          <w:sz w:val="32"/>
          <w:szCs w:val="32"/>
          <w:lang w:val="en-US" w:eastAsia="zh-CN"/>
        </w:rPr>
        <w:t>，中标结果由医院网站公示，中标公司请在公示后30日内到采购办签订合同，超过公示后30日不响应签订合同的视为放弃中标资格。</w:t>
      </w:r>
    </w:p>
    <w:p>
      <w:pPr>
        <w:pStyle w:val="16"/>
        <w:spacing w:line="240" w:lineRule="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3.本项目不接受联合体，不允许分包。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采购文件</w:t>
      </w:r>
      <w:r>
        <w:rPr>
          <w:rFonts w:hint="eastAsia" w:ascii="仿宋" w:hAnsi="仿宋" w:eastAsia="仿宋" w:cs="仿宋"/>
          <w:color w:val="555555"/>
          <w:kern w:val="0"/>
          <w:sz w:val="32"/>
          <w:szCs w:val="32"/>
        </w:rPr>
        <w:t>:</w:t>
      </w:r>
      <w:r>
        <w:rPr>
          <w:rFonts w:hint="eastAsia" w:ascii="仿宋" w:hAnsi="仿宋" w:eastAsia="仿宋" w:cs="仿宋"/>
          <w:color w:val="FF0000"/>
          <w:kern w:val="0"/>
          <w:sz w:val="32"/>
          <w:szCs w:val="32"/>
          <w:lang w:eastAsia="zh-CN"/>
        </w:rPr>
        <w:t>徐老师</w:t>
      </w:r>
      <w:r>
        <w:rPr>
          <w:rFonts w:hint="eastAsia" w:ascii="仿宋" w:hAnsi="仿宋" w:eastAsia="仿宋" w:cs="仿宋"/>
          <w:color w:val="FF0000"/>
          <w:kern w:val="0"/>
          <w:sz w:val="32"/>
          <w:szCs w:val="32"/>
        </w:rPr>
        <w:t xml:space="preserve"> </w:t>
      </w:r>
      <w:r>
        <w:rPr>
          <w:rFonts w:hint="eastAsia" w:ascii="仿宋" w:hAnsi="仿宋" w:eastAsia="仿宋" w:cs="仿宋"/>
          <w:color w:val="555555"/>
          <w:kern w:val="0"/>
          <w:sz w:val="32"/>
          <w:szCs w:val="32"/>
          <w:lang w:val="en-US" w:eastAsia="zh-CN"/>
        </w:rPr>
        <w:t xml:space="preserve">       </w:t>
      </w:r>
      <w:r>
        <w:rPr>
          <w:rFonts w:hint="eastAsia" w:ascii="仿宋" w:hAnsi="仿宋" w:eastAsia="仿宋" w:cs="仿宋"/>
          <w:color w:val="555555"/>
          <w:kern w:val="0"/>
          <w:sz w:val="32"/>
          <w:szCs w:val="32"/>
        </w:rPr>
        <w:t>电话:</w:t>
      </w:r>
      <w:r>
        <w:rPr>
          <w:rFonts w:hint="eastAsia" w:ascii="仿宋" w:hAnsi="仿宋" w:eastAsia="仿宋" w:cs="仿宋"/>
          <w:color w:val="555555"/>
          <w:kern w:val="0"/>
          <w:sz w:val="32"/>
          <w:szCs w:val="32"/>
          <w:lang w:val="en-US" w:eastAsia="zh-CN"/>
        </w:rPr>
        <w:t>0833-3211269</w:t>
      </w:r>
    </w:p>
    <w:p>
      <w:pPr>
        <w:ind w:firstLine="640" w:firstLineChars="200"/>
        <w:rPr>
          <w:rFonts w:hint="eastAsia" w:ascii="黑体" w:hAnsi="黑体" w:eastAsia="黑体" w:cs="黑体"/>
          <w:b/>
          <w:bCs/>
          <w:color w:val="auto"/>
          <w:sz w:val="72"/>
          <w:szCs w:val="72"/>
          <w:lang w:val="en-US" w:eastAsia="zh-CN"/>
        </w:rPr>
      </w:pPr>
      <w:r>
        <w:rPr>
          <w:rFonts w:hint="eastAsia" w:ascii="仿宋" w:hAnsi="仿宋" w:eastAsia="仿宋" w:cs="仿宋"/>
          <w:color w:val="555555"/>
          <w:kern w:val="0"/>
          <w:sz w:val="32"/>
          <w:szCs w:val="32"/>
          <w:lang w:val="en-US" w:eastAsia="zh-CN"/>
        </w:rPr>
        <w:t>项目联系人</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val="en-US" w:eastAsia="zh-CN"/>
        </w:rPr>
        <w:t xml:space="preserve">杨老师      电话:0833-3358145 </w:t>
      </w:r>
      <w:r>
        <w:rPr>
          <w:rFonts w:hint="eastAsia" w:ascii="黑体" w:hAnsi="黑体" w:eastAsia="黑体" w:cs="黑体"/>
          <w:b/>
          <w:bCs/>
          <w:color w:val="auto"/>
          <w:sz w:val="72"/>
          <w:szCs w:val="72"/>
          <w:lang w:val="en-US" w:eastAsia="zh-CN"/>
        </w:rPr>
        <w:br w:type="page"/>
      </w:r>
    </w:p>
    <w:p>
      <w:pPr>
        <w:spacing w:line="300" w:lineRule="exact"/>
        <w:jc w:val="center"/>
        <w:rPr>
          <w:rFonts w:hint="eastAsia" w:ascii="仿宋" w:hAnsi="仿宋" w:eastAsia="仿宋" w:cs="仿宋"/>
          <w:b/>
          <w:sz w:val="32"/>
          <w:szCs w:val="32"/>
          <w:lang w:eastAsia="zh-CN"/>
        </w:rPr>
      </w:pPr>
    </w:p>
    <w:p>
      <w:pPr>
        <w:pStyle w:val="2"/>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pPr>
        <w:pStyle w:val="30"/>
        <w:spacing w:line="240" w:lineRule="auto"/>
        <w:rPr>
          <w:rFonts w:hint="eastAsia"/>
          <w:lang w:eastAsia="zh-CN"/>
        </w:rPr>
      </w:pPr>
    </w:p>
    <w:p>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项目参照《中华人民共和国政府采购法》《四川省政府采购非招标采购方式实施办法》等有关法律、法规和规章，通过</w:t>
      </w:r>
      <w:r>
        <w:rPr>
          <w:rFonts w:hint="eastAsia" w:ascii="仿宋" w:hAnsi="仿宋" w:eastAsia="仿宋" w:cs="仿宋"/>
          <w:color w:val="FF0000"/>
          <w:sz w:val="32"/>
          <w:szCs w:val="32"/>
          <w:lang w:val="en-US" w:eastAsia="zh-CN"/>
        </w:rPr>
        <w:t>综合评分</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        ”，“项目编号：     ”，“询价响应文件”，“于   年  月  日  时  分前不得拆封”等字样。未按询价文件要求密封的响应文件将被拒收。</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FF0000"/>
          <w:sz w:val="32"/>
          <w:szCs w:val="32"/>
          <w:lang w:eastAsia="zh-CN"/>
        </w:rPr>
        <w:t>综合评分最高</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最终报价为依据（未组织</w:t>
      </w:r>
      <w:r>
        <w:rPr>
          <w:rFonts w:hint="eastAsia" w:ascii="仿宋" w:hAnsi="仿宋" w:eastAsia="仿宋" w:cs="仿宋"/>
          <w:color w:val="000000"/>
          <w:sz w:val="32"/>
          <w:szCs w:val="32"/>
          <w:lang w:val="en-US" w:eastAsia="zh-CN"/>
        </w:rPr>
        <w:t>二次报价</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FF0000"/>
          <w:sz w:val="32"/>
          <w:szCs w:val="32"/>
          <w:lang w:eastAsia="zh-CN"/>
        </w:rPr>
        <w:t>综合评分最高</w:t>
      </w:r>
      <w:r>
        <w:rPr>
          <w:rFonts w:hint="eastAsia" w:ascii="仿宋" w:hAnsi="仿宋" w:eastAsia="仿宋" w:cs="仿宋"/>
          <w:color w:val="000000"/>
          <w:sz w:val="32"/>
          <w:szCs w:val="32"/>
        </w:rPr>
        <w:t>原则确定成交供应商。</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采用最低评标价法的采购项目，提供相同品牌产品的不同投标人参加同一合同项下投标的，以其中通过资格审查、符合性审查且报价最低的参加评标；报价相同的，由采购人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pPr>
        <w:pStyle w:val="7"/>
        <w:ind w:left="0" w:leftChars="0" w:firstLine="0" w:firstLineChars="0"/>
        <w:rPr>
          <w:rFonts w:hint="eastAsia" w:ascii="黑体" w:hAnsi="黑体" w:eastAsia="黑体" w:cs="黑体"/>
          <w:lang w:eastAsia="zh-CN"/>
        </w:rPr>
      </w:pPr>
    </w:p>
    <w:p>
      <w:pPr>
        <w:rPr>
          <w:rFonts w:hint="eastAsia" w:ascii="黑体" w:hAnsi="黑体" w:eastAsia="黑体" w:cs="黑体"/>
          <w:lang w:val="en-US" w:eastAsia="zh-CN"/>
        </w:rPr>
      </w:pPr>
    </w:p>
    <w:p>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pPr>
        <w:spacing w:line="400" w:lineRule="exact"/>
        <w:ind w:firstLine="4897" w:firstLineChars="583"/>
        <w:rPr>
          <w:rFonts w:hint="eastAsia" w:ascii="黑体" w:hAnsi="黑体" w:eastAsia="黑体" w:cs="黑体"/>
          <w:sz w:val="84"/>
          <w:szCs w:val="84"/>
          <w:lang w:eastAsia="zh-CN"/>
        </w:rPr>
      </w:pPr>
    </w:p>
    <w:p>
      <w:pPr>
        <w:pStyle w:val="2"/>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询价、采购、谈判、遴选文件</w:t>
      </w:r>
    </w:p>
    <w:p>
      <w:pPr>
        <w:rPr>
          <w:rFonts w:hint="eastAsia" w:ascii="黑体" w:hAnsi="黑体" w:eastAsia="黑体" w:cs="黑体"/>
          <w:sz w:val="84"/>
          <w:szCs w:val="84"/>
          <w:lang w:val="en-US" w:eastAsia="zh-CN"/>
        </w:rPr>
      </w:pPr>
    </w:p>
    <w:p>
      <w:pPr>
        <w:pStyle w:val="2"/>
        <w:rPr>
          <w:rFonts w:hint="eastAsia" w:ascii="黑体" w:hAnsi="黑体" w:eastAsia="黑体" w:cs="黑体"/>
          <w:lang w:val="en-US" w:eastAsia="zh-CN"/>
        </w:rPr>
      </w:pPr>
    </w:p>
    <w:p>
      <w:pPr>
        <w:spacing w:line="400" w:lineRule="exact"/>
        <w:ind w:firstLine="4897" w:firstLineChars="583"/>
        <w:rPr>
          <w:rFonts w:hint="eastAsia" w:ascii="黑体" w:hAnsi="黑体" w:eastAsia="黑体" w:cs="黑体"/>
          <w:sz w:val="84"/>
          <w:szCs w:val="84"/>
        </w:rPr>
      </w:pPr>
    </w:p>
    <w:p>
      <w:pPr>
        <w:spacing w:line="400" w:lineRule="exact"/>
        <w:ind w:firstLine="4897" w:firstLineChars="583"/>
        <w:rPr>
          <w:rFonts w:hint="eastAsia" w:ascii="黑体" w:hAnsi="黑体" w:eastAsia="黑体" w:cs="黑体"/>
          <w:sz w:val="84"/>
          <w:szCs w:val="84"/>
        </w:rPr>
      </w:pPr>
    </w:p>
    <w:p>
      <w:pPr>
        <w:spacing w:line="400" w:lineRule="exact"/>
        <w:rPr>
          <w:rFonts w:hint="eastAsia" w:ascii="黑体" w:hAnsi="黑体" w:eastAsia="黑体" w:cs="黑体"/>
          <w:b/>
          <w:bCs/>
          <w:sz w:val="30"/>
          <w:szCs w:val="30"/>
        </w:rPr>
      </w:pPr>
    </w:p>
    <w:p>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pPr>
        <w:widowControl w:val="0"/>
        <w:adjustRightInd/>
        <w:spacing w:line="360" w:lineRule="auto"/>
        <w:rPr>
          <w:rFonts w:hint="eastAsia" w:ascii="黑体" w:hAnsi="黑体" w:eastAsia="黑体" w:cs="黑体"/>
          <w:b/>
          <w:bCs/>
          <w:sz w:val="32"/>
          <w:szCs w:val="32"/>
        </w:rPr>
      </w:pPr>
      <w:r>
        <w:rPr>
          <w:rFonts w:hint="eastAsia" w:ascii="黑体" w:hAnsi="黑体" w:eastAsia="黑体" w:cs="黑体"/>
          <w:b/>
          <w:bCs/>
          <w:sz w:val="32"/>
          <w:szCs w:val="32"/>
        </w:rPr>
        <w:t>法定代表人或授权代表：</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rPr>
        <w:t>（签字或加盖个人名章）</w:t>
      </w:r>
    </w:p>
    <w:p>
      <w:pPr>
        <w:widowControl w:val="0"/>
        <w:adjustRightInd/>
        <w:spacing w:line="360" w:lineRule="auto"/>
        <w:ind w:firstLine="315" w:firstLineChars="98"/>
        <w:rPr>
          <w:rFonts w:hint="eastAsia" w:ascii="黑体" w:hAnsi="黑体" w:eastAsia="黑体" w:cs="黑体"/>
          <w:b/>
          <w:bCs/>
          <w:sz w:val="32"/>
          <w:szCs w:val="32"/>
        </w:rPr>
      </w:pPr>
    </w:p>
    <w:p>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pPr>
        <w:rPr>
          <w:rFonts w:hint="eastAsia" w:ascii="黑体" w:hAnsi="黑体" w:eastAsia="黑体" w:cs="黑体"/>
          <w:b/>
          <w:bCs/>
          <w:sz w:val="32"/>
          <w:szCs w:val="32"/>
        </w:rPr>
      </w:pPr>
      <w:bookmarkStart w:id="0" w:name="_Toc25737"/>
      <w:bookmarkStart w:id="1" w:name="_Toc9490"/>
      <w:bookmarkStart w:id="2" w:name="_Toc18458"/>
      <w:bookmarkStart w:id="3" w:name="_Toc5773"/>
      <w:r>
        <w:rPr>
          <w:rFonts w:hint="eastAsia" w:ascii="黑体" w:hAnsi="黑体" w:eastAsia="黑体" w:cs="黑体"/>
          <w:b/>
          <w:bCs/>
          <w:sz w:val="32"/>
          <w:szCs w:val="32"/>
        </w:rPr>
        <w:br w:type="page"/>
      </w:r>
    </w:p>
    <w:bookmarkEnd w:id="0"/>
    <w:bookmarkEnd w:id="1"/>
    <w:bookmarkEnd w:id="2"/>
    <w:bookmarkEnd w:id="3"/>
    <w:p>
      <w:pPr>
        <w:numPr>
          <w:ilvl w:val="0"/>
          <w:numId w:val="2"/>
        </w:numPr>
        <w:jc w:val="center"/>
        <w:rPr>
          <w:rFonts w:hint="eastAsia" w:ascii="黑体" w:hAnsi="黑体" w:eastAsia="黑体" w:cs="黑体"/>
          <w:b/>
          <w:sz w:val="36"/>
          <w:szCs w:val="36"/>
          <w:lang w:val="en-US" w:eastAsia="zh-CN"/>
        </w:rPr>
      </w:pPr>
      <w:bookmarkStart w:id="4" w:name="_Toc17549"/>
      <w:bookmarkStart w:id="5" w:name="_Toc12449"/>
      <w:bookmarkStart w:id="6" w:name="_Toc439699516"/>
      <w:bookmarkStart w:id="7" w:name="_Toc4003"/>
      <w:r>
        <w:rPr>
          <w:rFonts w:hint="eastAsia" w:ascii="黑体" w:hAnsi="黑体" w:eastAsia="黑体" w:cs="黑体"/>
          <w:b/>
          <w:sz w:val="36"/>
          <w:szCs w:val="36"/>
          <w:lang w:val="en-US" w:eastAsia="zh-CN"/>
        </w:rPr>
        <w:t>采购资质要求</w:t>
      </w:r>
    </w:p>
    <w:p>
      <w:pPr>
        <w:pStyle w:val="2"/>
        <w:rPr>
          <w:rFonts w:hint="eastAsia" w:ascii="黑体" w:hAnsi="黑体" w:eastAsia="黑体" w:cs="黑体"/>
          <w:b/>
          <w:sz w:val="36"/>
          <w:szCs w:val="36"/>
          <w:lang w:val="en-US" w:eastAsia="zh-CN"/>
        </w:rPr>
      </w:pPr>
    </w:p>
    <w:p>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302" w:tblpY="371"/>
        <w:tblOverlap w:val="never"/>
        <w:tblW w:w="101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6421"/>
        <w:gridCol w:w="1035"/>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952" w:type="dxa"/>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6421" w:type="dxa"/>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1035" w:type="dxa"/>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1698" w:type="dxa"/>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jc w:val="center"/>
        </w:trPr>
        <w:tc>
          <w:tcPr>
            <w:tcW w:w="952" w:type="dxa"/>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6421" w:type="dxa"/>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 xml:space="preserve">三证（营业执照、税务登记证、组织机构代码证）副本；三证合一的只须提供营业执照副本；事业单位、社会团体提供法人登记证书复印件 </w:t>
            </w:r>
          </w:p>
        </w:tc>
        <w:tc>
          <w:tcPr>
            <w:tcW w:w="1035" w:type="dxa"/>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1698" w:type="dxa"/>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952" w:type="dxa"/>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6421" w:type="dxa"/>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1035" w:type="dxa"/>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1698" w:type="dxa"/>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952" w:type="dxa"/>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3</w:t>
            </w:r>
          </w:p>
        </w:tc>
        <w:tc>
          <w:tcPr>
            <w:tcW w:w="6421" w:type="dxa"/>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1035" w:type="dxa"/>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1698" w:type="dxa"/>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952" w:type="dxa"/>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4</w:t>
            </w:r>
          </w:p>
        </w:tc>
        <w:tc>
          <w:tcPr>
            <w:tcW w:w="6421" w:type="dxa"/>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具备有效期内的《旅行社业务经营许可证》（许可经营业务范围须包含国内旅游业务）</w:t>
            </w:r>
          </w:p>
        </w:tc>
        <w:tc>
          <w:tcPr>
            <w:tcW w:w="1035" w:type="dxa"/>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有效</w:t>
            </w:r>
          </w:p>
        </w:tc>
        <w:tc>
          <w:tcPr>
            <w:tcW w:w="1698" w:type="dxa"/>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952" w:type="dxa"/>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6421" w:type="dxa"/>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p>
        </w:tc>
        <w:tc>
          <w:tcPr>
            <w:tcW w:w="1035" w:type="dxa"/>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1698" w:type="dxa"/>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952" w:type="dxa"/>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6421" w:type="dxa"/>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1035" w:type="dxa"/>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1698" w:type="dxa"/>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r>
    </w:tbl>
    <w:p>
      <w:pPr>
        <w:pStyle w:val="2"/>
        <w:rPr>
          <w:rFonts w:hint="eastAsia" w:ascii="仿宋" w:hAnsi="仿宋" w:eastAsia="仿宋" w:cs="仿宋"/>
          <w:color w:val="auto"/>
          <w:sz w:val="30"/>
          <w:szCs w:val="30"/>
          <w:highlight w:val="none"/>
          <w:lang w:eastAsia="zh-CN"/>
        </w:rPr>
      </w:pPr>
    </w:p>
    <w:p>
      <w:pPr>
        <w:pStyle w:val="3"/>
        <w:rPr>
          <w:rFonts w:hint="eastAsia" w:ascii="仿宋" w:hAnsi="仿宋" w:eastAsia="仿宋" w:cs="仿宋"/>
          <w:color w:val="auto"/>
          <w:sz w:val="30"/>
          <w:szCs w:val="30"/>
          <w:highlight w:val="none"/>
          <w:lang w:eastAsia="zh-CN"/>
        </w:rPr>
      </w:pPr>
    </w:p>
    <w:p>
      <w:pPr>
        <w:rPr>
          <w:rFonts w:hint="eastAsia" w:ascii="仿宋" w:hAnsi="仿宋" w:eastAsia="仿宋" w:cs="仿宋"/>
          <w:color w:val="auto"/>
          <w:sz w:val="30"/>
          <w:szCs w:val="30"/>
          <w:highlight w:val="none"/>
          <w:lang w:eastAsia="zh-CN"/>
        </w:rPr>
      </w:pPr>
    </w:p>
    <w:p>
      <w:pPr>
        <w:pStyle w:val="2"/>
        <w:rPr>
          <w:rFonts w:hint="eastAsia"/>
          <w:lang w:eastAsia="zh-CN"/>
        </w:rPr>
      </w:pPr>
    </w:p>
    <w:p>
      <w:pPr>
        <w:pStyle w:val="2"/>
        <w:rPr>
          <w:rFonts w:hint="eastAsia"/>
          <w:lang w:eastAsia="zh-CN"/>
        </w:rPr>
      </w:pPr>
    </w:p>
    <w:p>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pPr>
        <w:pStyle w:val="2"/>
        <w:rPr>
          <w:rFonts w:hint="eastAsia" w:ascii="黑体" w:hAnsi="黑体" w:eastAsia="黑体" w:cs="黑体"/>
          <w:sz w:val="28"/>
          <w:szCs w:val="28"/>
        </w:rPr>
      </w:pPr>
    </w:p>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pPr>
        <w:pStyle w:val="2"/>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pPr>
        <w:pStyle w:val="29"/>
        <w:rPr>
          <w:rFonts w:hint="eastAsia" w:ascii="仿宋" w:hAnsi="仿宋" w:eastAsia="仿宋" w:cs="仿宋"/>
          <w:sz w:val="32"/>
          <w:szCs w:val="32"/>
        </w:rPr>
      </w:pPr>
    </w:p>
    <w:p>
      <w:pPr>
        <w:rPr>
          <w:rFonts w:hint="eastAsia"/>
        </w:rPr>
      </w:pP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pPr>
        <w:pStyle w:val="2"/>
        <w:adjustRightInd w:val="0"/>
        <w:snapToGrid w:val="0"/>
        <w:spacing w:after="0" w:line="360" w:lineRule="auto"/>
        <w:ind w:firstLine="560" w:firstLineChars="200"/>
        <w:rPr>
          <w:rFonts w:hint="eastAsia" w:ascii="黑体" w:hAnsi="黑体" w:eastAsia="黑体" w:cs="黑体"/>
          <w:sz w:val="28"/>
          <w:szCs w:val="28"/>
          <w:lang w:eastAsia="zh-CN"/>
        </w:rPr>
      </w:pPr>
    </w:p>
    <w:p>
      <w:pPr>
        <w:pStyle w:val="2"/>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pPr>
        <w:spacing w:beforeLines="100" w:afterLines="200" w:line="320" w:lineRule="exact"/>
        <w:jc w:val="center"/>
        <w:rPr>
          <w:rFonts w:hint="eastAsia" w:ascii="黑体" w:hAnsi="黑体" w:eastAsia="黑体" w:cs="黑体"/>
          <w:color w:val="auto"/>
          <w:sz w:val="40"/>
          <w:szCs w:val="40"/>
        </w:rPr>
      </w:pPr>
      <w:bookmarkStart w:id="8" w:name="_Toc1287"/>
      <w:bookmarkStart w:id="9" w:name="_Toc16184"/>
      <w:bookmarkStart w:id="10" w:name="_Toc199"/>
      <w:bookmarkStart w:id="11" w:name="_Toc439699522"/>
      <w:bookmarkStart w:id="12" w:name="_Toc1800"/>
      <w:bookmarkStart w:id="13" w:name="_Toc12426"/>
      <w:bookmarkStart w:id="14" w:name="_Toc24199"/>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pPr>
        <w:pStyle w:val="27"/>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pPr>
        <w:pStyle w:val="27"/>
        <w:spacing w:line="240" w:lineRule="auto"/>
        <w:ind w:firstLine="0"/>
        <w:rPr>
          <w:rFonts w:hint="eastAsia" w:ascii="仿宋" w:hAnsi="仿宋" w:eastAsia="仿宋" w:cs="仿宋"/>
          <w:color w:val="auto"/>
          <w:sz w:val="32"/>
          <w:szCs w:val="32"/>
        </w:rPr>
      </w:pPr>
    </w:p>
    <w:p>
      <w:pPr>
        <w:pStyle w:val="27"/>
        <w:spacing w:line="240" w:lineRule="auto"/>
        <w:ind w:firstLine="0"/>
        <w:rPr>
          <w:rFonts w:hint="eastAsia" w:ascii="仿宋" w:hAnsi="仿宋" w:eastAsia="仿宋" w:cs="仿宋"/>
          <w:color w:val="auto"/>
          <w:sz w:val="32"/>
          <w:szCs w:val="32"/>
        </w:rPr>
      </w:pPr>
    </w:p>
    <w:p>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3</w:t>
      </w:r>
      <w:r>
        <w:rPr>
          <w:rFonts w:hint="eastAsia" w:ascii="仿宋" w:hAnsi="仿宋" w:eastAsia="仿宋" w:cs="仿宋"/>
          <w:color w:val="auto"/>
          <w:kern w:val="2"/>
          <w:sz w:val="32"/>
          <w:szCs w:val="32"/>
        </w:rPr>
        <w:t>年  月  日</w:t>
      </w:r>
      <w:bookmarkEnd w:id="15"/>
    </w:p>
    <w:p>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pPr>
        <w:spacing w:after="0" w:line="360" w:lineRule="auto"/>
        <w:rPr>
          <w:rFonts w:hint="eastAsia" w:ascii="黑体" w:hAnsi="黑体" w:eastAsia="黑体" w:cs="黑体"/>
        </w:rPr>
      </w:pPr>
    </w:p>
    <w:p>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pPr>
        <w:pStyle w:val="2"/>
        <w:rPr>
          <w:rFonts w:hint="eastAsia" w:ascii="黑体" w:hAnsi="黑体" w:eastAsia="黑体" w:cs="黑体"/>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技术参数要求：</w:t>
      </w:r>
    </w:p>
    <w:p>
      <w:pPr>
        <w:pStyle w:val="16"/>
        <w:numPr>
          <w:ilvl w:val="0"/>
          <w:numId w:val="3"/>
        </w:numPr>
        <w:spacing w:line="240" w:lineRule="auto"/>
        <w:ind w:left="64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线图：洪雅玉屏山、柳江古镇一日游</w:t>
      </w:r>
    </w:p>
    <w:p>
      <w:pPr>
        <w:pStyle w:val="16"/>
        <w:numPr>
          <w:ilvl w:val="0"/>
          <w:numId w:val="3"/>
        </w:numPr>
        <w:spacing w:line="240" w:lineRule="auto"/>
        <w:ind w:left="64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人数：约150-200人（含意外保险费）</w:t>
      </w:r>
    </w:p>
    <w:p>
      <w:pPr>
        <w:pStyle w:val="16"/>
        <w:numPr>
          <w:ilvl w:val="0"/>
          <w:numId w:val="3"/>
        </w:numPr>
        <w:spacing w:line="240" w:lineRule="auto"/>
        <w:ind w:left="64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车辆：具有正规资质，性能良好的旅游大巴车</w:t>
      </w:r>
    </w:p>
    <w:p>
      <w:pPr>
        <w:pStyle w:val="16"/>
        <w:numPr>
          <w:ilvl w:val="0"/>
          <w:numId w:val="3"/>
        </w:numPr>
        <w:spacing w:line="240" w:lineRule="auto"/>
        <w:ind w:left="64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午餐：</w:t>
      </w:r>
      <w:r>
        <w:rPr>
          <w:rFonts w:hint="default" w:ascii="仿宋" w:hAnsi="仿宋" w:eastAsia="仿宋" w:cs="仿宋"/>
          <w:sz w:val="32"/>
          <w:szCs w:val="32"/>
          <w:lang w:val="en-US" w:eastAsia="zh-CN"/>
        </w:rPr>
        <w:t>中标后提供菜单，餐标不</w:t>
      </w:r>
      <w:r>
        <w:rPr>
          <w:rFonts w:hint="eastAsia" w:ascii="仿宋" w:hAnsi="仿宋" w:eastAsia="仿宋" w:cs="仿宋"/>
          <w:sz w:val="32"/>
          <w:szCs w:val="32"/>
          <w:lang w:val="en-US" w:eastAsia="zh-CN"/>
        </w:rPr>
        <w:t>低于6</w:t>
      </w:r>
      <w:r>
        <w:rPr>
          <w:rFonts w:hint="default" w:ascii="仿宋" w:hAnsi="仿宋" w:eastAsia="仿宋" w:cs="仿宋"/>
          <w:sz w:val="32"/>
          <w:szCs w:val="32"/>
          <w:lang w:val="en-US" w:eastAsia="zh-CN"/>
        </w:rPr>
        <w:t>0元/人</w:t>
      </w:r>
      <w:r>
        <w:rPr>
          <w:rFonts w:hint="eastAsia" w:ascii="仿宋" w:hAnsi="仿宋" w:eastAsia="仿宋" w:cs="仿宋"/>
          <w:sz w:val="32"/>
          <w:szCs w:val="32"/>
          <w:lang w:val="en-US" w:eastAsia="zh-CN"/>
        </w:rPr>
        <w:t>，10人/桌。</w:t>
      </w:r>
    </w:p>
    <w:p>
      <w:pPr>
        <w:pStyle w:val="16"/>
        <w:numPr>
          <w:ilvl w:val="0"/>
          <w:numId w:val="0"/>
        </w:numPr>
        <w:spacing w:line="240" w:lineRule="auto"/>
        <w:ind w:leftChars="0"/>
        <w:rPr>
          <w:rFonts w:hint="eastAsia" w:ascii="仿宋" w:hAnsi="仿宋" w:eastAsia="仿宋" w:cs="仿宋"/>
          <w:sz w:val="32"/>
          <w:szCs w:val="32"/>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pPr>
        <w:pStyle w:val="16"/>
        <w:numPr>
          <w:ilvl w:val="0"/>
          <w:numId w:val="0"/>
        </w:numPr>
        <w:spacing w:line="240" w:lineRule="auto"/>
        <w:ind w:left="63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1.服务时间：2024年3月19日-3月21日完成春游活动服务，分3批出行。</w:t>
      </w:r>
    </w:p>
    <w:p>
      <w:pPr>
        <w:pStyle w:val="16"/>
        <w:numPr>
          <w:ilvl w:val="0"/>
          <w:numId w:val="0"/>
        </w:numPr>
        <w:spacing w:line="240" w:lineRule="auto"/>
        <w:ind w:left="0" w:leftChars="0" w:firstLine="630" w:firstLineChars="19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2.服务要求：全程提供向导服务，</w:t>
      </w:r>
      <w:r>
        <w:rPr>
          <w:rFonts w:hint="default" w:ascii="仿宋" w:hAnsi="仿宋" w:eastAsia="仿宋" w:cs="仿宋"/>
          <w:sz w:val="32"/>
          <w:szCs w:val="32"/>
          <w:lang w:val="en-US" w:eastAsia="zh-CN"/>
        </w:rPr>
        <w:t>全程空调车（七成新以上）接送</w:t>
      </w:r>
      <w:r>
        <w:rPr>
          <w:rFonts w:hint="eastAsia" w:ascii="仿宋" w:hAnsi="仿宋" w:eastAsia="仿宋" w:cs="仿宋"/>
          <w:sz w:val="32"/>
          <w:szCs w:val="32"/>
          <w:lang w:val="en-US" w:eastAsia="zh-CN"/>
        </w:rPr>
        <w:t>。</w:t>
      </w:r>
    </w:p>
    <w:p>
      <w:pPr>
        <w:pStyle w:val="16"/>
        <w:numPr>
          <w:ilvl w:val="0"/>
          <w:numId w:val="0"/>
        </w:numPr>
        <w:spacing w:line="240" w:lineRule="auto"/>
        <w:ind w:left="630" w:left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3.履约要求：供应商应具备履行服务的能力。</w:t>
      </w:r>
    </w:p>
    <w:p>
      <w:pPr>
        <w:pStyle w:val="16"/>
        <w:numPr>
          <w:ilvl w:val="0"/>
          <w:numId w:val="0"/>
        </w:numPr>
        <w:spacing w:line="240" w:lineRule="auto"/>
        <w:ind w:left="0" w:leftChars="0" w:firstLine="630" w:firstLineChars="19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4.付款方式：服务结束后提供相关票据资料1个月内转账付款。</w:t>
      </w:r>
    </w:p>
    <w:p>
      <w:pPr>
        <w:pStyle w:val="16"/>
        <w:numPr>
          <w:ilvl w:val="0"/>
          <w:numId w:val="0"/>
        </w:numPr>
        <w:spacing w:line="240" w:lineRule="auto"/>
        <w:ind w:left="0" w:leftChars="0" w:firstLine="630" w:firstLineChars="19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5.违约责任及解决争议的方法：合同履行期间，若双方发生争议，可协商或由有关部门协调解决，协商或协调不成功的，双方均可向五通桥区人民法院提起诉讼依法维护其合法权益。</w:t>
      </w:r>
    </w:p>
    <w:p>
      <w:pPr>
        <w:rPr>
          <w:rFonts w:hint="eastAsia" w:ascii="黑体" w:hAnsi="黑体" w:eastAsia="黑体" w:cs="黑体"/>
          <w:lang w:eastAsia="zh-CN"/>
        </w:rPr>
      </w:pPr>
    </w:p>
    <w:p>
      <w:pPr>
        <w:pStyle w:val="5"/>
        <w:rPr>
          <w:rFonts w:hint="eastAsia" w:ascii="黑体" w:hAnsi="黑体" w:eastAsia="黑体" w:cs="黑体"/>
          <w:lang w:eastAsia="zh-CN"/>
        </w:rPr>
      </w:pPr>
    </w:p>
    <w:p>
      <w:pPr>
        <w:rPr>
          <w:rFonts w:hint="eastAsia" w:ascii="黑体" w:hAnsi="黑体" w:eastAsia="黑体" w:cs="黑体"/>
          <w:lang w:eastAsia="zh-CN"/>
        </w:rPr>
      </w:pPr>
      <w:r>
        <w:rPr>
          <w:rFonts w:hint="eastAsia" w:ascii="黑体" w:hAnsi="黑体" w:eastAsia="黑体" w:cs="黑体"/>
          <w:lang w:eastAsia="zh-CN"/>
        </w:rPr>
        <w:br w:type="page"/>
      </w:r>
    </w:p>
    <w:p>
      <w:pPr>
        <w:pStyle w:val="16"/>
        <w:rPr>
          <w:rFonts w:hint="eastAsia" w:ascii="黑体" w:hAnsi="黑体" w:eastAsia="黑体" w:cs="黑体"/>
          <w:lang w:eastAsia="zh-CN"/>
        </w:rPr>
      </w:pPr>
    </w:p>
    <w:p>
      <w:pPr>
        <w:pStyle w:val="2"/>
        <w:rPr>
          <w:rFonts w:hint="eastAsia" w:ascii="黑体" w:hAnsi="黑体" w:eastAsia="黑体" w:cs="黑体"/>
          <w:lang w:eastAsia="zh-CN"/>
        </w:rPr>
      </w:pPr>
      <w:r>
        <w:rPr>
          <w:rFonts w:hint="eastAsia" w:ascii="黑体" w:hAnsi="黑体" w:eastAsia="黑体" w:cs="黑体"/>
          <w:sz w:val="32"/>
          <w:szCs w:val="40"/>
          <w:lang w:eastAsia="zh-CN"/>
        </w:rPr>
        <w:t>评分标准</w:t>
      </w:r>
      <w:r>
        <w:rPr>
          <w:rFonts w:hint="eastAsia" w:ascii="黑体" w:hAnsi="黑体" w:eastAsia="黑体" w:cs="黑体"/>
          <w:lang w:eastAsia="zh-CN"/>
        </w:rPr>
        <w:t>：</w:t>
      </w:r>
    </w:p>
    <w:tbl>
      <w:tblPr>
        <w:tblStyle w:val="17"/>
        <w:tblW w:w="9958" w:type="dxa"/>
        <w:jc w:val="center"/>
        <w:tblInd w:w="0" w:type="dxa"/>
        <w:tblLayout w:type="fixed"/>
        <w:tblCellMar>
          <w:top w:w="0" w:type="dxa"/>
          <w:left w:w="108" w:type="dxa"/>
          <w:bottom w:w="0" w:type="dxa"/>
          <w:right w:w="108" w:type="dxa"/>
        </w:tblCellMar>
      </w:tblPr>
      <w:tblGrid>
        <w:gridCol w:w="579"/>
        <w:gridCol w:w="1023"/>
        <w:gridCol w:w="860"/>
        <w:gridCol w:w="6510"/>
        <w:gridCol w:w="986"/>
      </w:tblGrid>
      <w:tr>
        <w:tblPrEx>
          <w:tblLayout w:type="fixed"/>
          <w:tblCellMar>
            <w:top w:w="0" w:type="dxa"/>
            <w:left w:w="108" w:type="dxa"/>
            <w:bottom w:w="0" w:type="dxa"/>
            <w:right w:w="108" w:type="dxa"/>
          </w:tblCellMar>
        </w:tblPrEx>
        <w:trPr>
          <w:cantSplit/>
          <w:trHeight w:val="821"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序号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评分因素</w:t>
            </w:r>
          </w:p>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及权重</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分值</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评分标准</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说 明</w:t>
            </w:r>
          </w:p>
        </w:tc>
      </w:tr>
      <w:tr>
        <w:tblPrEx>
          <w:tblLayout w:type="fixed"/>
          <w:tblCellMar>
            <w:top w:w="0" w:type="dxa"/>
            <w:left w:w="108" w:type="dxa"/>
            <w:bottom w:w="0" w:type="dxa"/>
            <w:right w:w="108" w:type="dxa"/>
          </w:tblCellMar>
        </w:tblPrEx>
        <w:trPr>
          <w:trHeight w:val="122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1</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报价</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40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满足招标文件要求且投标价格最低的投标报价为评标基准价，其价格分为满分。其他供应商的价格分统一按照下列公式计算：投标报价得分=(评标基准价÷投标报价)×40%×100；</w:t>
            </w:r>
          </w:p>
          <w:p>
            <w:pPr>
              <w:rPr>
                <w:rFonts w:hint="eastAsia" w:ascii="仿宋" w:hAnsi="仿宋" w:eastAsia="仿宋" w:cs="仿宋"/>
                <w:kern w:val="1"/>
                <w:sz w:val="32"/>
                <w:szCs w:val="32"/>
                <w:lang w:val="en-US" w:eastAsia="zh-CN"/>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共同评审因素</w:t>
            </w:r>
          </w:p>
        </w:tc>
      </w:tr>
      <w:tr>
        <w:tblPrEx>
          <w:tblLayout w:type="fixed"/>
          <w:tblCellMar>
            <w:top w:w="0" w:type="dxa"/>
            <w:left w:w="108" w:type="dxa"/>
            <w:bottom w:w="0" w:type="dxa"/>
            <w:right w:w="108" w:type="dxa"/>
          </w:tblCellMar>
        </w:tblPrEx>
        <w:trPr>
          <w:trHeight w:val="122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2</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lang w:eastAsia="zh-CN"/>
              </w:rPr>
              <w:t>技术要求</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both"/>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20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32"/>
                <w:szCs w:val="32"/>
                <w:lang w:val="en-US" w:eastAsia="zh-CN"/>
              </w:rPr>
            </w:pPr>
            <w:r>
              <w:rPr>
                <w:rFonts w:hint="eastAsia" w:ascii="仿宋" w:hAnsi="仿宋" w:eastAsia="仿宋" w:cs="仿宋"/>
                <w:kern w:val="1"/>
                <w:sz w:val="32"/>
                <w:szCs w:val="32"/>
                <w:lang w:val="en-US" w:eastAsia="zh-CN"/>
              </w:rPr>
              <w:t>根据供应商对技术，完全响应文件要求没有负偏离的得满分，有一项负偏离的扣2分，扣完为止</w:t>
            </w:r>
            <w:r>
              <w:rPr>
                <w:rFonts w:hint="eastAsia" w:ascii="仿宋" w:hAnsi="仿宋" w:eastAsia="仿宋" w:cs="仿宋"/>
                <w:kern w:val="1"/>
                <w:sz w:val="32"/>
                <w:szCs w:val="32"/>
              </w:rPr>
              <w:t>。</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tblPrEx>
          <w:tblLayout w:type="fixed"/>
          <w:tblCellMar>
            <w:top w:w="0" w:type="dxa"/>
            <w:left w:w="108" w:type="dxa"/>
            <w:bottom w:w="0" w:type="dxa"/>
            <w:right w:w="108" w:type="dxa"/>
          </w:tblCellMar>
        </w:tblPrEx>
        <w:trPr>
          <w:trHeight w:val="1735"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3</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p>
          <w:p>
            <w:pPr>
              <w:spacing w:line="320" w:lineRule="atLeast"/>
              <w:jc w:val="center"/>
              <w:rPr>
                <w:rFonts w:hint="eastAsia" w:ascii="仿宋" w:hAnsi="仿宋" w:eastAsia="仿宋" w:cs="仿宋"/>
                <w:kern w:val="1"/>
                <w:sz w:val="32"/>
                <w:szCs w:val="32"/>
                <w:lang w:val="en-US" w:eastAsia="zh-CN"/>
              </w:rPr>
            </w:pPr>
            <w:r>
              <w:rPr>
                <w:rFonts w:hint="eastAsia" w:ascii="仿宋" w:hAnsi="仿宋" w:eastAsia="仿宋" w:cs="仿宋"/>
                <w:sz w:val="32"/>
                <w:szCs w:val="32"/>
              </w:rPr>
              <w:t>服务</w:t>
            </w:r>
            <w:r>
              <w:rPr>
                <w:rFonts w:hint="eastAsia" w:ascii="仿宋" w:hAnsi="仿宋" w:eastAsia="仿宋" w:cs="仿宋"/>
                <w:kern w:val="1"/>
                <w:sz w:val="32"/>
                <w:szCs w:val="32"/>
                <w:lang w:val="en-US" w:eastAsia="zh-CN"/>
              </w:rPr>
              <w:t>方案</w:t>
            </w:r>
          </w:p>
          <w:p>
            <w:pPr>
              <w:spacing w:line="320" w:lineRule="atLeast"/>
              <w:jc w:val="center"/>
              <w:rPr>
                <w:rFonts w:hint="eastAsia" w:ascii="仿宋" w:hAnsi="仿宋" w:eastAsia="仿宋" w:cs="仿宋"/>
                <w:sz w:val="32"/>
                <w:szCs w:val="32"/>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投标人针对本项目提供春游实施方案，方案内容包括：（1）活动组织;（2）陪同人员和提供车辆;（3）线路安排;（4）质量保证；（5）服务方案；</w:t>
            </w:r>
          </w:p>
          <w:p>
            <w:pPr>
              <w:pStyle w:val="2"/>
              <w:rPr>
                <w:rFonts w:hint="default"/>
                <w:lang w:val="en-US" w:eastAsia="zh-CN"/>
              </w:rPr>
            </w:pPr>
            <w:r>
              <w:rPr>
                <w:rFonts w:hint="eastAsia" w:ascii="仿宋" w:hAnsi="仿宋" w:eastAsia="仿宋" w:cs="仿宋"/>
                <w:kern w:val="1"/>
                <w:sz w:val="32"/>
                <w:szCs w:val="32"/>
                <w:lang w:val="en-US" w:eastAsia="zh-CN"/>
              </w:rPr>
              <w:t>方案完整、高效、恰当每项得8分，方案基本完整、恰当每项得5分，漏项得0分。</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bl>
    <w:p>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52AC236B"/>
    <w:multiLevelType w:val="singleLevel"/>
    <w:tmpl w:val="52AC236B"/>
    <w:lvl w:ilvl="0" w:tentative="0">
      <w:start w:val="1"/>
      <w:numFmt w:val="decimal"/>
      <w:lvlText w:val="%1."/>
      <w:lvlJc w:val="left"/>
      <w:pPr>
        <w:tabs>
          <w:tab w:val="left" w:pos="312"/>
        </w:tabs>
        <w:ind w:left="640" w:leftChars="0" w:firstLine="0" w:firstLineChars="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VmZThjMzNiOWMyOWMxMTEwM2ZiOGYwYzY1NzgifQ=="/>
  </w:docVars>
  <w:rsids>
    <w:rsidRoot w:val="20B86F62"/>
    <w:rsid w:val="00FE51BA"/>
    <w:rsid w:val="01724615"/>
    <w:rsid w:val="01AC44D5"/>
    <w:rsid w:val="01DA1F83"/>
    <w:rsid w:val="02653FAC"/>
    <w:rsid w:val="038264FB"/>
    <w:rsid w:val="03E45948"/>
    <w:rsid w:val="03EB6F22"/>
    <w:rsid w:val="047A7398"/>
    <w:rsid w:val="04976AF6"/>
    <w:rsid w:val="05813897"/>
    <w:rsid w:val="05B93485"/>
    <w:rsid w:val="05DD44EC"/>
    <w:rsid w:val="05FA4A68"/>
    <w:rsid w:val="06C83EF1"/>
    <w:rsid w:val="07954271"/>
    <w:rsid w:val="07E32607"/>
    <w:rsid w:val="083F7233"/>
    <w:rsid w:val="08570094"/>
    <w:rsid w:val="0892424A"/>
    <w:rsid w:val="08A100E8"/>
    <w:rsid w:val="08D706EB"/>
    <w:rsid w:val="09281C73"/>
    <w:rsid w:val="092B0852"/>
    <w:rsid w:val="0A5766D2"/>
    <w:rsid w:val="0B5B6EA7"/>
    <w:rsid w:val="0B9B184D"/>
    <w:rsid w:val="0BBF2600"/>
    <w:rsid w:val="0C3E61B9"/>
    <w:rsid w:val="0DA12370"/>
    <w:rsid w:val="0DBF0EC4"/>
    <w:rsid w:val="0DE40DBE"/>
    <w:rsid w:val="0E672DB3"/>
    <w:rsid w:val="0E904937"/>
    <w:rsid w:val="0E9E1831"/>
    <w:rsid w:val="0EAB0093"/>
    <w:rsid w:val="0F225786"/>
    <w:rsid w:val="0F932F2F"/>
    <w:rsid w:val="0FCE2C6B"/>
    <w:rsid w:val="107F49DA"/>
    <w:rsid w:val="11103FB2"/>
    <w:rsid w:val="11106DD4"/>
    <w:rsid w:val="113065C7"/>
    <w:rsid w:val="11551C0D"/>
    <w:rsid w:val="11630C29"/>
    <w:rsid w:val="12374305"/>
    <w:rsid w:val="12AB3D92"/>
    <w:rsid w:val="132D67B3"/>
    <w:rsid w:val="13320F8E"/>
    <w:rsid w:val="13E72023"/>
    <w:rsid w:val="159705C2"/>
    <w:rsid w:val="17294232"/>
    <w:rsid w:val="182F44F3"/>
    <w:rsid w:val="184E41FF"/>
    <w:rsid w:val="1865790E"/>
    <w:rsid w:val="189E6B7E"/>
    <w:rsid w:val="18E41C4F"/>
    <w:rsid w:val="18EA25BB"/>
    <w:rsid w:val="193B3817"/>
    <w:rsid w:val="19497A6B"/>
    <w:rsid w:val="1998123A"/>
    <w:rsid w:val="19DF1744"/>
    <w:rsid w:val="1A8B6B5A"/>
    <w:rsid w:val="1AF5353D"/>
    <w:rsid w:val="1B493578"/>
    <w:rsid w:val="1B5723EF"/>
    <w:rsid w:val="1B93321C"/>
    <w:rsid w:val="1BAD400C"/>
    <w:rsid w:val="1C380FAC"/>
    <w:rsid w:val="1DE81A96"/>
    <w:rsid w:val="1E4521C9"/>
    <w:rsid w:val="1EC85776"/>
    <w:rsid w:val="1F0B1E38"/>
    <w:rsid w:val="1F176598"/>
    <w:rsid w:val="1F782175"/>
    <w:rsid w:val="1FFB4E00"/>
    <w:rsid w:val="200C1DCC"/>
    <w:rsid w:val="2024443A"/>
    <w:rsid w:val="20B62B46"/>
    <w:rsid w:val="20B86F62"/>
    <w:rsid w:val="20DA469D"/>
    <w:rsid w:val="21141E9E"/>
    <w:rsid w:val="219C0C5F"/>
    <w:rsid w:val="223E3923"/>
    <w:rsid w:val="22CD72A0"/>
    <w:rsid w:val="22DC6C27"/>
    <w:rsid w:val="230709BE"/>
    <w:rsid w:val="2333299E"/>
    <w:rsid w:val="23552AFD"/>
    <w:rsid w:val="23B92E0F"/>
    <w:rsid w:val="24640781"/>
    <w:rsid w:val="24972E1D"/>
    <w:rsid w:val="2575459C"/>
    <w:rsid w:val="258F1C50"/>
    <w:rsid w:val="260C2C13"/>
    <w:rsid w:val="26DE5391"/>
    <w:rsid w:val="26F92D9C"/>
    <w:rsid w:val="27727EF2"/>
    <w:rsid w:val="27E167C8"/>
    <w:rsid w:val="27E8188C"/>
    <w:rsid w:val="27FC6D6D"/>
    <w:rsid w:val="280F7F64"/>
    <w:rsid w:val="286E79EF"/>
    <w:rsid w:val="295D2E54"/>
    <w:rsid w:val="29E733A5"/>
    <w:rsid w:val="29EC6ACA"/>
    <w:rsid w:val="2A6F6F5A"/>
    <w:rsid w:val="2A752D03"/>
    <w:rsid w:val="2A954942"/>
    <w:rsid w:val="2AD02384"/>
    <w:rsid w:val="2B4A4982"/>
    <w:rsid w:val="2B6C2AA5"/>
    <w:rsid w:val="2C3A64AA"/>
    <w:rsid w:val="2C603C27"/>
    <w:rsid w:val="2CC9483E"/>
    <w:rsid w:val="2CD61AC0"/>
    <w:rsid w:val="2D003A0D"/>
    <w:rsid w:val="2D225054"/>
    <w:rsid w:val="2D3E76EB"/>
    <w:rsid w:val="2D675D4F"/>
    <w:rsid w:val="2DAD2928"/>
    <w:rsid w:val="2E3D6C9E"/>
    <w:rsid w:val="2E681D4B"/>
    <w:rsid w:val="2E763F41"/>
    <w:rsid w:val="2ED755ED"/>
    <w:rsid w:val="2EFF3B7B"/>
    <w:rsid w:val="2F2D5CF3"/>
    <w:rsid w:val="2FFD053A"/>
    <w:rsid w:val="305074F8"/>
    <w:rsid w:val="30567424"/>
    <w:rsid w:val="30A47F0F"/>
    <w:rsid w:val="31AE2E30"/>
    <w:rsid w:val="32145B6C"/>
    <w:rsid w:val="32482F63"/>
    <w:rsid w:val="32887A79"/>
    <w:rsid w:val="3367096B"/>
    <w:rsid w:val="34015BA1"/>
    <w:rsid w:val="34104944"/>
    <w:rsid w:val="34306EB2"/>
    <w:rsid w:val="34607C42"/>
    <w:rsid w:val="34AD3121"/>
    <w:rsid w:val="35850C85"/>
    <w:rsid w:val="358537EA"/>
    <w:rsid w:val="36206E51"/>
    <w:rsid w:val="3645059F"/>
    <w:rsid w:val="36FA0C0E"/>
    <w:rsid w:val="37124698"/>
    <w:rsid w:val="37564C34"/>
    <w:rsid w:val="37AF0C3F"/>
    <w:rsid w:val="381338B3"/>
    <w:rsid w:val="387820A1"/>
    <w:rsid w:val="391D2725"/>
    <w:rsid w:val="39241426"/>
    <w:rsid w:val="3A0A5821"/>
    <w:rsid w:val="3AE30FAC"/>
    <w:rsid w:val="3B3A67B9"/>
    <w:rsid w:val="3B572D45"/>
    <w:rsid w:val="3BB47094"/>
    <w:rsid w:val="3BD82555"/>
    <w:rsid w:val="3C396CD8"/>
    <w:rsid w:val="3D912EF9"/>
    <w:rsid w:val="3DA25E25"/>
    <w:rsid w:val="3E103198"/>
    <w:rsid w:val="3E5C675F"/>
    <w:rsid w:val="3EBE1131"/>
    <w:rsid w:val="3F541632"/>
    <w:rsid w:val="4003626C"/>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B91D0A"/>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E92A18"/>
    <w:rsid w:val="484F3834"/>
    <w:rsid w:val="486A1208"/>
    <w:rsid w:val="487E3CCE"/>
    <w:rsid w:val="491D7010"/>
    <w:rsid w:val="49F61C6A"/>
    <w:rsid w:val="4A2F0F8F"/>
    <w:rsid w:val="4B21070C"/>
    <w:rsid w:val="4C6D260E"/>
    <w:rsid w:val="4CA65850"/>
    <w:rsid w:val="4D4867BB"/>
    <w:rsid w:val="4D7854C0"/>
    <w:rsid w:val="4E1C022A"/>
    <w:rsid w:val="4E1E1D89"/>
    <w:rsid w:val="4FA771C2"/>
    <w:rsid w:val="4FDC7DDA"/>
    <w:rsid w:val="5003209D"/>
    <w:rsid w:val="500F5396"/>
    <w:rsid w:val="508E2B4E"/>
    <w:rsid w:val="524A480D"/>
    <w:rsid w:val="5263348D"/>
    <w:rsid w:val="527E7420"/>
    <w:rsid w:val="5292301A"/>
    <w:rsid w:val="52C10CD7"/>
    <w:rsid w:val="52F64CB8"/>
    <w:rsid w:val="52FB39A7"/>
    <w:rsid w:val="531641E9"/>
    <w:rsid w:val="5446604D"/>
    <w:rsid w:val="547E1AE0"/>
    <w:rsid w:val="54F554AC"/>
    <w:rsid w:val="551A0D5D"/>
    <w:rsid w:val="55EE4C06"/>
    <w:rsid w:val="561A148B"/>
    <w:rsid w:val="565B213D"/>
    <w:rsid w:val="56D444B4"/>
    <w:rsid w:val="572D0183"/>
    <w:rsid w:val="57567F4A"/>
    <w:rsid w:val="57667B7B"/>
    <w:rsid w:val="578D66D2"/>
    <w:rsid w:val="58367041"/>
    <w:rsid w:val="583A1E71"/>
    <w:rsid w:val="584A40DF"/>
    <w:rsid w:val="589814E3"/>
    <w:rsid w:val="58B969E6"/>
    <w:rsid w:val="58C42CE6"/>
    <w:rsid w:val="59035A6B"/>
    <w:rsid w:val="592C7507"/>
    <w:rsid w:val="59A37B89"/>
    <w:rsid w:val="59D35B7E"/>
    <w:rsid w:val="5AD77D82"/>
    <w:rsid w:val="5B134CBA"/>
    <w:rsid w:val="5B214FE3"/>
    <w:rsid w:val="5C557763"/>
    <w:rsid w:val="5CC74DB0"/>
    <w:rsid w:val="5DA41796"/>
    <w:rsid w:val="5DC167D7"/>
    <w:rsid w:val="5DEF6DF4"/>
    <w:rsid w:val="5F0E08C6"/>
    <w:rsid w:val="5F5075CA"/>
    <w:rsid w:val="5F7007A2"/>
    <w:rsid w:val="5F85487D"/>
    <w:rsid w:val="5FB650D9"/>
    <w:rsid w:val="6096215E"/>
    <w:rsid w:val="62B86D17"/>
    <w:rsid w:val="62C824CA"/>
    <w:rsid w:val="642A2386"/>
    <w:rsid w:val="64677320"/>
    <w:rsid w:val="653C0392"/>
    <w:rsid w:val="6586792A"/>
    <w:rsid w:val="65DD20B3"/>
    <w:rsid w:val="662C503A"/>
    <w:rsid w:val="66BB543F"/>
    <w:rsid w:val="66C47D68"/>
    <w:rsid w:val="67A45BAF"/>
    <w:rsid w:val="67CF5796"/>
    <w:rsid w:val="6855309E"/>
    <w:rsid w:val="68B23C16"/>
    <w:rsid w:val="69264D03"/>
    <w:rsid w:val="694F76A8"/>
    <w:rsid w:val="69884565"/>
    <w:rsid w:val="69F16575"/>
    <w:rsid w:val="69FE6269"/>
    <w:rsid w:val="6B110ED0"/>
    <w:rsid w:val="6B3D74AC"/>
    <w:rsid w:val="6BF5199F"/>
    <w:rsid w:val="6C81461E"/>
    <w:rsid w:val="6CE610BF"/>
    <w:rsid w:val="6CED312F"/>
    <w:rsid w:val="6D1916FD"/>
    <w:rsid w:val="6D226C43"/>
    <w:rsid w:val="6D535020"/>
    <w:rsid w:val="6D8B0E30"/>
    <w:rsid w:val="6DCF5925"/>
    <w:rsid w:val="6E383ABA"/>
    <w:rsid w:val="6E8B493F"/>
    <w:rsid w:val="6EA3545A"/>
    <w:rsid w:val="6F9F7F7D"/>
    <w:rsid w:val="719A4F83"/>
    <w:rsid w:val="71DE50A5"/>
    <w:rsid w:val="722B548E"/>
    <w:rsid w:val="722E4AEA"/>
    <w:rsid w:val="73683978"/>
    <w:rsid w:val="73F43F5E"/>
    <w:rsid w:val="7438150C"/>
    <w:rsid w:val="746F037C"/>
    <w:rsid w:val="74F82EAA"/>
    <w:rsid w:val="75457DB7"/>
    <w:rsid w:val="7563067A"/>
    <w:rsid w:val="75E55D62"/>
    <w:rsid w:val="76466533"/>
    <w:rsid w:val="768B2E7A"/>
    <w:rsid w:val="77F97E1C"/>
    <w:rsid w:val="785111E8"/>
    <w:rsid w:val="78E831F4"/>
    <w:rsid w:val="79AC141B"/>
    <w:rsid w:val="79B51E35"/>
    <w:rsid w:val="79EA27D4"/>
    <w:rsid w:val="7AE23540"/>
    <w:rsid w:val="7C29457B"/>
    <w:rsid w:val="7C7B14B5"/>
    <w:rsid w:val="7CE9423F"/>
    <w:rsid w:val="7D9A1A1C"/>
    <w:rsid w:val="7E163DF2"/>
    <w:rsid w:val="7E1D587C"/>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2"/>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5">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6">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Quote"/>
    <w:basedOn w:val="1"/>
    <w:next w:val="1"/>
    <w:qFormat/>
    <w:uiPriority w:val="0"/>
    <w:rPr>
      <w:i/>
      <w:iCs/>
      <w:color w:val="000000"/>
      <w:szCs w:val="22"/>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628"/>
      </w:tabs>
      <w:spacing w:line="360" w:lineRule="auto"/>
      <w:jc w:val="center"/>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qFormat/>
    <w:uiPriority w:val="0"/>
    <w:pPr>
      <w:ind w:firstLine="420" w:firstLineChars="100"/>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page number"/>
    <w:basedOn w:val="19"/>
    <w:qFormat/>
    <w:uiPriority w:val="0"/>
  </w:style>
  <w:style w:type="character" w:styleId="21">
    <w:name w:val="Hyperlink"/>
    <w:qFormat/>
    <w:uiPriority w:val="0"/>
    <w:rPr>
      <w:color w:val="0000FF"/>
      <w:u w:val="single"/>
    </w:rPr>
  </w:style>
  <w:style w:type="character" w:customStyle="1" w:styleId="22">
    <w:name w:val="标题 1 Char"/>
    <w:link w:val="4"/>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qFormat/>
    <w:uiPriority w:val="0"/>
    <w:pPr>
      <w:spacing w:line="360" w:lineRule="auto"/>
      <w:ind w:firstLine="200" w:firstLineChars="200"/>
    </w:pPr>
  </w:style>
  <w:style w:type="character" w:customStyle="1" w:styleId="24">
    <w:name w:val="font21"/>
    <w:basedOn w:val="19"/>
    <w:qFormat/>
    <w:uiPriority w:val="0"/>
    <w:rPr>
      <w:rFonts w:ascii="Calibri" w:hAnsi="Calibri" w:cs="Calibri"/>
      <w:color w:val="000000"/>
      <w:sz w:val="18"/>
      <w:szCs w:val="18"/>
      <w:u w:val="none"/>
    </w:rPr>
  </w:style>
  <w:style w:type="character" w:customStyle="1" w:styleId="25">
    <w:name w:val="font01"/>
    <w:basedOn w:val="19"/>
    <w:qFormat/>
    <w:uiPriority w:val="0"/>
    <w:rPr>
      <w:rFonts w:hint="eastAsia" w:ascii="宋体" w:hAnsi="宋体" w:eastAsia="宋体" w:cs="宋体"/>
      <w:color w:val="000000"/>
      <w:sz w:val="18"/>
      <w:szCs w:val="18"/>
      <w:u w:val="none"/>
    </w:rPr>
  </w:style>
  <w:style w:type="paragraph" w:styleId="26">
    <w:name w:val="List Paragraph"/>
    <w:basedOn w:val="1"/>
    <w:qFormat/>
    <w:uiPriority w:val="34"/>
    <w:pPr>
      <w:ind w:firstLine="420" w:firstLineChars="200"/>
    </w:pPr>
    <w:rPr>
      <w:rFonts w:ascii="Calibri" w:hAnsi="Calibri" w:eastAsia="宋体" w:cs="Times New Roman"/>
      <w:sz w:val="21"/>
      <w:szCs w:val="22"/>
    </w:rPr>
  </w:style>
  <w:style w:type="paragraph" w:customStyle="1" w:styleId="27">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qFormat/>
    <w:uiPriority w:val="34"/>
    <w:pPr>
      <w:ind w:firstLine="420" w:firstLineChars="200"/>
    </w:pPr>
  </w:style>
  <w:style w:type="paragraph" w:customStyle="1" w:styleId="2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5236</Words>
  <Characters>5390</Characters>
  <Lines>0</Lines>
  <Paragraphs>0</Paragraphs>
  <TotalTime>36</TotalTime>
  <ScaleCrop>false</ScaleCrop>
  <LinksUpToDate>false</LinksUpToDate>
  <CharactersWithSpaces>5586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天哥</cp:lastModifiedBy>
  <cp:lastPrinted>2024-03-07T02:13:00Z</cp:lastPrinted>
  <dcterms:modified xsi:type="dcterms:W3CDTF">2024-03-11T01:09:37Z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6F48A25E1CA9488A9F55693863D49B3D</vt:lpwstr>
  </property>
</Properties>
</file>