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jc w:val="center"/>
        <w:rPr>
          <w:rFonts w:hint="eastAsia" w:ascii="黑体" w:hAnsi="黑体" w:eastAsia="黑体" w:cs="黑体"/>
          <w:sz w:val="52"/>
          <w:szCs w:val="52"/>
          <w:lang w:eastAsia="zh-CN"/>
        </w:rPr>
      </w:pPr>
      <w:r>
        <w:rPr>
          <w:rFonts w:hint="eastAsia" w:ascii="黑体" w:hAnsi="黑体" w:eastAsia="黑体" w:cs="黑体"/>
          <w:sz w:val="52"/>
          <w:szCs w:val="52"/>
          <w:lang w:eastAsia="zh-CN"/>
        </w:rPr>
        <w:t>乐山市五通桥区人民医院</w:t>
      </w:r>
    </w:p>
    <w:p>
      <w:pPr>
        <w:pStyle w:val="7"/>
        <w:rPr>
          <w:rFonts w:hint="eastAsia" w:ascii="黑体" w:hAnsi="黑体" w:eastAsia="黑体" w:cs="黑体"/>
          <w:lang w:eastAsia="zh-CN"/>
        </w:rPr>
      </w:pPr>
    </w:p>
    <w:p>
      <w:pPr>
        <w:jc w:val="center"/>
        <w:rPr>
          <w:rFonts w:hint="eastAsia" w:ascii="黑体" w:hAnsi="黑体" w:eastAsia="黑体" w:cs="黑体"/>
          <w:sz w:val="32"/>
          <w:szCs w:val="32"/>
          <w:lang w:eastAsia="zh-CN"/>
        </w:rPr>
      </w:pPr>
      <w:r>
        <w:rPr>
          <w:rFonts w:hint="eastAsia" w:ascii="黑体" w:hAnsi="黑体" w:eastAsia="黑体" w:cs="黑体"/>
          <w:color w:val="auto"/>
          <w:sz w:val="52"/>
          <w:szCs w:val="52"/>
          <w:lang w:val="en-US" w:eastAsia="zh-CN"/>
        </w:rPr>
        <w:t>采购</w:t>
      </w:r>
      <w:r>
        <w:rPr>
          <w:rFonts w:hint="eastAsia" w:ascii="黑体" w:hAnsi="黑体" w:eastAsia="黑体" w:cs="黑体"/>
          <w:sz w:val="52"/>
          <w:szCs w:val="52"/>
          <w:lang w:eastAsia="zh-CN"/>
        </w:rPr>
        <w:t>文件</w:t>
      </w:r>
    </w:p>
    <w:p>
      <w:pPr>
        <w:jc w:val="center"/>
        <w:rPr>
          <w:rFonts w:hint="eastAsia" w:ascii="黑体" w:hAnsi="黑体" w:eastAsia="黑体" w:cs="黑体"/>
          <w:sz w:val="32"/>
          <w:szCs w:val="32"/>
          <w:lang w:eastAsia="zh-CN"/>
        </w:rPr>
      </w:pPr>
    </w:p>
    <w:p>
      <w:pPr>
        <w:jc w:val="center"/>
        <w:rPr>
          <w:rFonts w:hint="eastAsia" w:ascii="黑体" w:hAnsi="黑体" w:eastAsia="黑体" w:cs="黑体"/>
          <w:sz w:val="32"/>
          <w:szCs w:val="32"/>
          <w:lang w:eastAsia="zh-CN"/>
        </w:rPr>
      </w:pPr>
    </w:p>
    <w:p>
      <w:pPr>
        <w:pStyle w:val="12"/>
        <w:rPr>
          <w:rFonts w:hint="eastAsia" w:ascii="黑体" w:hAnsi="黑体" w:eastAsia="黑体" w:cs="黑体"/>
          <w:sz w:val="32"/>
          <w:szCs w:val="32"/>
          <w:lang w:eastAsia="zh-CN"/>
        </w:rPr>
      </w:pPr>
    </w:p>
    <w:p>
      <w:pPr>
        <w:pStyle w:val="12"/>
        <w:rPr>
          <w:rFonts w:hint="eastAsia" w:ascii="黑体" w:hAnsi="黑体" w:eastAsia="黑体" w:cs="黑体"/>
          <w:sz w:val="32"/>
          <w:szCs w:val="32"/>
          <w:lang w:eastAsia="zh-CN"/>
        </w:rPr>
      </w:pPr>
    </w:p>
    <w:p>
      <w:pPr>
        <w:pStyle w:val="12"/>
        <w:rPr>
          <w:rFonts w:hint="eastAsia" w:ascii="黑体" w:hAnsi="黑体" w:eastAsia="黑体" w:cs="黑体"/>
          <w:sz w:val="32"/>
          <w:szCs w:val="32"/>
          <w:lang w:eastAsia="zh-CN"/>
        </w:rPr>
      </w:pPr>
    </w:p>
    <w:p>
      <w:pPr>
        <w:pStyle w:val="12"/>
        <w:rPr>
          <w:rFonts w:hint="eastAsia" w:ascii="黑体" w:hAnsi="黑体" w:eastAsia="黑体" w:cs="黑体"/>
          <w:sz w:val="32"/>
          <w:szCs w:val="32"/>
          <w:lang w:eastAsia="zh-CN"/>
        </w:rPr>
      </w:pPr>
    </w:p>
    <w:p>
      <w:pPr>
        <w:pStyle w:val="12"/>
        <w:rPr>
          <w:rFonts w:hint="eastAsia" w:ascii="黑体" w:hAnsi="黑体" w:eastAsia="黑体" w:cs="黑体"/>
          <w:sz w:val="40"/>
          <w:szCs w:val="40"/>
          <w:lang w:eastAsia="zh-CN"/>
        </w:rPr>
      </w:pPr>
    </w:p>
    <w:p>
      <w:pPr>
        <w:jc w:val="center"/>
        <w:rPr>
          <w:rFonts w:hint="default" w:ascii="宋体" w:hAnsi="宋体" w:eastAsia="宋体"/>
          <w:b/>
          <w:sz w:val="36"/>
          <w:szCs w:val="36"/>
          <w:lang w:val="en-US" w:eastAsia="zh-CN"/>
        </w:rPr>
      </w:pPr>
      <w:r>
        <w:rPr>
          <w:rFonts w:hint="eastAsia" w:ascii="黑体" w:hAnsi="黑体" w:eastAsia="黑体" w:cs="黑体"/>
          <w:sz w:val="40"/>
          <w:szCs w:val="40"/>
          <w:lang w:eastAsia="zh-CN"/>
        </w:rPr>
        <w:t>项目名称：</w:t>
      </w:r>
      <w:r>
        <w:rPr>
          <w:rFonts w:hint="eastAsia" w:ascii="宋体" w:hAnsi="宋体" w:eastAsia="宋体"/>
          <w:b/>
          <w:sz w:val="36"/>
          <w:szCs w:val="36"/>
        </w:rPr>
        <w:t>手摇式三折病床</w:t>
      </w:r>
      <w:r>
        <w:rPr>
          <w:rFonts w:hint="eastAsia" w:ascii="宋体" w:hAnsi="宋体" w:eastAsia="宋体"/>
          <w:b/>
          <w:sz w:val="36"/>
          <w:szCs w:val="36"/>
          <w:lang w:val="en-US" w:eastAsia="zh-CN"/>
        </w:rPr>
        <w:t>院内采购</w:t>
      </w:r>
    </w:p>
    <w:p>
      <w:pPr>
        <w:jc w:val="center"/>
        <w:rPr>
          <w:rFonts w:hint="eastAsia" w:ascii="黑体" w:hAnsi="黑体" w:eastAsia="黑体" w:cs="黑体"/>
          <w:sz w:val="40"/>
          <w:szCs w:val="40"/>
          <w:lang w:eastAsia="zh-CN"/>
        </w:rPr>
      </w:pPr>
    </w:p>
    <w:p>
      <w:pPr>
        <w:pStyle w:val="7"/>
        <w:rPr>
          <w:rFonts w:hint="eastAsia" w:ascii="黑体" w:hAnsi="黑体" w:eastAsia="黑体" w:cs="黑体"/>
          <w:lang w:val="en-US" w:eastAsia="zh-CN"/>
        </w:rPr>
      </w:pPr>
    </w:p>
    <w:p>
      <w:pPr>
        <w:jc w:val="center"/>
        <w:rPr>
          <w:rFonts w:hint="eastAsia" w:ascii="黑体" w:hAnsi="黑体" w:eastAsia="微软雅黑" w:cs="黑体"/>
          <w:sz w:val="40"/>
          <w:szCs w:val="40"/>
          <w:lang w:val="en-US" w:eastAsia="zh-CN"/>
        </w:rPr>
      </w:pPr>
      <w:r>
        <w:rPr>
          <w:rFonts w:hint="eastAsia" w:ascii="黑体" w:hAnsi="黑体" w:eastAsia="黑体" w:cs="黑体"/>
          <w:sz w:val="40"/>
          <w:szCs w:val="40"/>
          <w:lang w:eastAsia="zh-CN"/>
        </w:rPr>
        <w:t>项目编号：</w:t>
      </w:r>
      <w:r>
        <w:rPr>
          <w:rFonts w:hint="eastAsia" w:ascii="宋体" w:hAnsi="宋体" w:eastAsia="宋体"/>
          <w:b/>
          <w:sz w:val="36"/>
          <w:szCs w:val="36"/>
        </w:rPr>
        <w:t>YNCG02</w:t>
      </w:r>
      <w:r>
        <w:rPr>
          <w:rFonts w:hint="eastAsia" w:ascii="宋体" w:hAnsi="宋体" w:eastAsia="宋体"/>
          <w:b/>
          <w:sz w:val="36"/>
          <w:szCs w:val="36"/>
          <w:lang w:val="en-US" w:eastAsia="zh-CN"/>
        </w:rPr>
        <w:t>1</w:t>
      </w:r>
      <w:bookmarkStart w:id="17" w:name="_GoBack"/>
      <w:bookmarkEnd w:id="17"/>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p>
    <w:p>
      <w:pPr>
        <w:jc w:val="center"/>
        <w:rPr>
          <w:rFonts w:hint="eastAsia" w:ascii="黑体" w:hAnsi="黑体" w:eastAsia="黑体" w:cs="黑体"/>
          <w:sz w:val="40"/>
          <w:szCs w:val="40"/>
          <w:lang w:eastAsia="zh-CN"/>
        </w:rPr>
      </w:pPr>
      <w:r>
        <w:rPr>
          <w:rFonts w:hint="eastAsia" w:ascii="黑体" w:hAnsi="黑体" w:eastAsia="黑体" w:cs="黑体"/>
          <w:sz w:val="40"/>
          <w:szCs w:val="40"/>
          <w:lang w:eastAsia="zh-CN"/>
        </w:rPr>
        <w:t>乐山市五通桥区人民医院采购办</w:t>
      </w:r>
    </w:p>
    <w:p>
      <w:pPr>
        <w:jc w:val="center"/>
        <w:rPr>
          <w:rFonts w:hint="eastAsia" w:ascii="黑体" w:hAnsi="黑体" w:eastAsia="黑体" w:cs="黑体"/>
          <w:sz w:val="40"/>
          <w:szCs w:val="40"/>
          <w:lang w:eastAsia="zh-CN"/>
        </w:rPr>
      </w:pPr>
      <w:r>
        <w:rPr>
          <w:rFonts w:hint="eastAsia" w:ascii="黑体" w:hAnsi="黑体" w:eastAsia="黑体" w:cs="黑体"/>
          <w:sz w:val="40"/>
          <w:szCs w:val="40"/>
          <w:lang w:val="en-US" w:eastAsia="zh-CN"/>
        </w:rPr>
        <w:t>2023年 12 月</w:t>
      </w:r>
      <w:r>
        <w:rPr>
          <w:rFonts w:hint="eastAsia" w:ascii="黑体" w:hAnsi="黑体" w:eastAsia="黑体" w:cs="黑体"/>
          <w:sz w:val="40"/>
          <w:szCs w:val="40"/>
          <w:lang w:eastAsia="zh-CN"/>
        </w:rPr>
        <w:br w:type="page"/>
      </w:r>
    </w:p>
    <w:p>
      <w:pPr>
        <w:jc w:val="center"/>
        <w:rPr>
          <w:rFonts w:hint="eastAsia" w:ascii="黑体" w:hAnsi="黑体" w:eastAsia="黑体" w:cs="黑体"/>
          <w:sz w:val="36"/>
          <w:szCs w:val="36"/>
          <w:lang w:eastAsia="zh-CN"/>
        </w:rPr>
      </w:pPr>
      <w:r>
        <w:rPr>
          <w:rFonts w:hint="eastAsia" w:ascii="黑体" w:hAnsi="黑体" w:eastAsia="黑体" w:cs="黑体"/>
          <w:sz w:val="36"/>
          <w:szCs w:val="36"/>
          <w:lang w:eastAsia="zh-CN"/>
        </w:rPr>
        <w:t>第一章</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乐山市五通桥区人民医院</w:t>
      </w:r>
    </w:p>
    <w:p>
      <w:pPr>
        <w:jc w:val="center"/>
        <w:rPr>
          <w:rFonts w:hint="eastAsia" w:ascii="黑体" w:hAnsi="黑体" w:eastAsia="黑体" w:cs="黑体"/>
          <w:sz w:val="36"/>
          <w:szCs w:val="36"/>
          <w:lang w:eastAsia="zh-CN"/>
        </w:rPr>
      </w:pPr>
      <w:r>
        <w:rPr>
          <w:rFonts w:hint="eastAsia" w:ascii="黑体" w:hAnsi="黑体" w:eastAsia="黑体" w:cs="黑体"/>
          <w:color w:val="auto"/>
          <w:sz w:val="36"/>
          <w:szCs w:val="36"/>
          <w:lang w:eastAsia="zh-CN"/>
        </w:rPr>
        <w:t>院内</w:t>
      </w:r>
      <w:r>
        <w:rPr>
          <w:rFonts w:hint="eastAsia" w:ascii="黑体" w:hAnsi="黑体" w:eastAsia="黑体" w:cs="黑体"/>
          <w:sz w:val="36"/>
          <w:szCs w:val="36"/>
          <w:lang w:eastAsia="zh-CN"/>
        </w:rPr>
        <w:t>采购公告</w:t>
      </w:r>
    </w:p>
    <w:p>
      <w:pPr>
        <w:keepNext w:val="0"/>
        <w:keepLines w:val="0"/>
        <w:pageBreakBefore w:val="0"/>
        <w:widowControl/>
        <w:numPr>
          <w:ilvl w:val="0"/>
          <w:numId w:val="0"/>
        </w:numPr>
        <w:kinsoku/>
        <w:wordWrap/>
        <w:overflowPunct/>
        <w:topLinePunct w:val="0"/>
        <w:autoSpaceDE/>
        <w:autoSpaceDN/>
        <w:bidi w:val="0"/>
        <w:adjustRightInd/>
        <w:snapToGrid/>
        <w:spacing w:line="240" w:lineRule="auto"/>
        <w:jc w:val="left"/>
        <w:textAlignment w:val="auto"/>
        <w:rPr>
          <w:rFonts w:hint="eastAsia" w:ascii="黑体" w:hAnsi="黑体" w:eastAsia="黑体" w:cs="黑体"/>
          <w:color w:val="555555"/>
          <w:kern w:val="0"/>
          <w:sz w:val="28"/>
          <w:szCs w:val="28"/>
          <w:lang w:eastAsia="zh-CN"/>
        </w:rPr>
      </w:pPr>
    </w:p>
    <w:p>
      <w:pPr>
        <w:ind w:firstLine="640" w:firstLineChars="200"/>
        <w:jc w:val="both"/>
        <w:rPr>
          <w:rFonts w:hint="default"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一、项目采购编号：YNCG021  ，项目包数量：1个，项目预算金额：50000元</w:t>
      </w:r>
    </w:p>
    <w:p>
      <w:pPr>
        <w:ind w:firstLine="640" w:firstLineChars="200"/>
        <w:jc w:val="both"/>
        <w:rPr>
          <w:rFonts w:hint="default"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 xml:space="preserve">二、项目背景：满足临床需求，采购手摇式三折病床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 xml:space="preserve">三、采购项目内容（详细要求请看附件）：满足临床需求，采购手摇式三折病床 </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四、参加采购的供应商数量：两家及以上；在乐山市五通桥区人民医院官方网站上发布公告（https://www.wtqqrmyy.com/）；本项目若有补遗或更正公告会在官网上发布，请参加采购的供应商随时关注；若因以上原因造成的损失由供应商自行负责</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lang w:eastAsia="zh-CN"/>
        </w:rPr>
      </w:pPr>
      <w:r>
        <w:rPr>
          <w:rFonts w:hint="eastAsia" w:ascii="仿宋" w:hAnsi="仿宋" w:eastAsia="仿宋" w:cs="仿宋"/>
          <w:color w:val="555555"/>
          <w:kern w:val="0"/>
          <w:sz w:val="32"/>
          <w:szCs w:val="32"/>
          <w:lang w:eastAsia="zh-CN"/>
        </w:rPr>
        <w:t>五、供应商参加本次采购活动提交资料中，具备以下要求：</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555555"/>
          <w:kern w:val="0"/>
          <w:sz w:val="32"/>
          <w:szCs w:val="32"/>
          <w:lang w:val="en-US" w:eastAsia="zh-CN"/>
        </w:rPr>
        <w:t>1.具有独立承担民事责任的能力；依法缴纳税收和社会保障资金的良好记录。</w:t>
      </w:r>
    </w:p>
    <w:p>
      <w:pPr>
        <w:pStyle w:val="5"/>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555555"/>
          <w:kern w:val="0"/>
          <w:sz w:val="32"/>
          <w:szCs w:val="32"/>
          <w:lang w:val="en-US" w:eastAsia="zh-CN"/>
        </w:rPr>
      </w:pPr>
      <w:r>
        <w:rPr>
          <w:rFonts w:hint="eastAsia" w:ascii="仿宋" w:hAnsi="仿宋" w:eastAsia="仿宋" w:cs="仿宋"/>
          <w:color w:val="555555"/>
          <w:kern w:val="0"/>
          <w:sz w:val="32"/>
          <w:szCs w:val="32"/>
          <w:lang w:val="en-US" w:eastAsia="zh-CN"/>
        </w:rPr>
        <w:t xml:space="preserve">    2.具有良好的商业制度和健全的财务制度；履行合同所必须的设备和专业技术能力。</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lang w:val="en-US" w:eastAsia="zh-CN"/>
        </w:rPr>
      </w:pPr>
      <w:r>
        <w:rPr>
          <w:rFonts w:hint="eastAsia" w:ascii="仿宋" w:hAnsi="仿宋" w:eastAsia="仿宋" w:cs="仿宋"/>
          <w:color w:val="555555"/>
          <w:kern w:val="0"/>
          <w:sz w:val="32"/>
          <w:szCs w:val="32"/>
          <w:lang w:val="en-US" w:eastAsia="zh-CN"/>
        </w:rPr>
        <w:t xml:space="preserve">    3.参加本次采购活动前三年内，在经营活动中没有重大违法记录。</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lang w:val="en-US" w:eastAsia="zh-CN"/>
        </w:rPr>
        <w:t>4.</w:t>
      </w:r>
      <w:r>
        <w:rPr>
          <w:rFonts w:hint="eastAsia" w:ascii="仿宋" w:hAnsi="仿宋" w:eastAsia="仿宋" w:cs="仿宋"/>
          <w:color w:val="555555"/>
          <w:kern w:val="0"/>
          <w:sz w:val="32"/>
          <w:szCs w:val="32"/>
        </w:rPr>
        <w:t>公司的营业执照（</w:t>
      </w:r>
      <w:r>
        <w:rPr>
          <w:rFonts w:hint="eastAsia" w:ascii="仿宋" w:hAnsi="仿宋" w:eastAsia="仿宋" w:cs="仿宋"/>
          <w:color w:val="555555"/>
          <w:kern w:val="0"/>
          <w:sz w:val="32"/>
          <w:szCs w:val="32"/>
          <w:lang w:eastAsia="zh-CN"/>
        </w:rPr>
        <w:t>三证合一</w:t>
      </w:r>
      <w:r>
        <w:rPr>
          <w:rFonts w:hint="eastAsia" w:ascii="仿宋" w:hAnsi="仿宋" w:eastAsia="仿宋" w:cs="仿宋"/>
          <w:color w:val="555555"/>
          <w:kern w:val="0"/>
          <w:sz w:val="32"/>
          <w:szCs w:val="32"/>
        </w:rPr>
        <w:t>）</w:t>
      </w:r>
      <w:r>
        <w:rPr>
          <w:rFonts w:hint="eastAsia" w:ascii="仿宋" w:hAnsi="仿宋" w:eastAsia="仿宋" w:cs="仿宋"/>
          <w:color w:val="555555"/>
          <w:kern w:val="0"/>
          <w:sz w:val="32"/>
          <w:szCs w:val="32"/>
          <w:lang w:eastAsia="zh-CN"/>
        </w:rPr>
        <w:t>复印件</w:t>
      </w:r>
      <w:r>
        <w:rPr>
          <w:rFonts w:hint="eastAsia" w:ascii="仿宋" w:hAnsi="仿宋" w:eastAsia="仿宋" w:cs="仿宋"/>
          <w:color w:val="555555"/>
          <w:kern w:val="0"/>
          <w:sz w:val="32"/>
          <w:szCs w:val="32"/>
        </w:rPr>
        <w:t>加盖鲜章</w:t>
      </w:r>
      <w:r>
        <w:rPr>
          <w:rFonts w:hint="eastAsia" w:ascii="仿宋" w:hAnsi="仿宋" w:eastAsia="仿宋" w:cs="仿宋"/>
          <w:color w:val="555555"/>
          <w:kern w:val="0"/>
          <w:sz w:val="32"/>
          <w:szCs w:val="32"/>
          <w:lang w:eastAsia="zh-CN"/>
        </w:rPr>
        <w:t>，</w:t>
      </w:r>
      <w:r>
        <w:rPr>
          <w:rFonts w:hint="eastAsia" w:ascii="仿宋" w:hAnsi="仿宋" w:eastAsia="仿宋" w:cs="仿宋"/>
          <w:color w:val="555555"/>
          <w:kern w:val="0"/>
          <w:sz w:val="32"/>
          <w:szCs w:val="32"/>
        </w:rPr>
        <w:t>法定代表人授权委托书（法定代表人参与的须提供法定代表人证明书）</w:t>
      </w:r>
      <w:r>
        <w:rPr>
          <w:rFonts w:hint="eastAsia" w:ascii="仿宋" w:hAnsi="仿宋" w:eastAsia="仿宋" w:cs="仿宋"/>
          <w:color w:val="555555"/>
          <w:kern w:val="0"/>
          <w:sz w:val="32"/>
          <w:szCs w:val="32"/>
          <w:lang w:eastAsia="zh-CN"/>
        </w:rPr>
        <w:t>，</w:t>
      </w:r>
      <w:r>
        <w:rPr>
          <w:rFonts w:hint="eastAsia" w:ascii="仿宋" w:hAnsi="仿宋" w:eastAsia="仿宋" w:cs="仿宋"/>
          <w:color w:val="555555"/>
          <w:kern w:val="0"/>
          <w:sz w:val="32"/>
          <w:szCs w:val="32"/>
        </w:rPr>
        <w:t>法定代表人和授权代表的身份证</w:t>
      </w:r>
      <w:r>
        <w:rPr>
          <w:rFonts w:hint="eastAsia" w:ascii="仿宋" w:hAnsi="仿宋" w:eastAsia="仿宋" w:cs="仿宋"/>
          <w:color w:val="555555"/>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555555"/>
          <w:kern w:val="0"/>
          <w:sz w:val="32"/>
          <w:szCs w:val="32"/>
        </w:rPr>
      </w:pPr>
      <w:r>
        <w:rPr>
          <w:rFonts w:hint="eastAsia" w:ascii="仿宋" w:hAnsi="仿宋" w:eastAsia="仿宋" w:cs="仿宋"/>
          <w:color w:val="555555"/>
          <w:kern w:val="0"/>
          <w:sz w:val="32"/>
          <w:szCs w:val="32"/>
          <w:lang w:val="en-US" w:eastAsia="zh-CN"/>
        </w:rPr>
        <w:t>5.报价以及资料，采购响应文件封面请注明项目名称、联系人、联系电话、自行密封并加盖公章。</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 xml:space="preserve">    以上资料至少2套，请满足上述资质要求的供应商于2024年1月 4日17:00之前将资料送至乐山市五通桥区人民医院采购办（行政楼三楼楼梯处），在截至时间以后送到的响应文件将被拒绝并退还给供应商。</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六、其他要求（参加采购的供应商视为全部接受以下条款）</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1.方案报价在60日内有效，报价包括文件编制、差旅、人工等费用。</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2.在供应商满足相关资质要求及服务要求的条件下，采购采用综合评分法，中标结果由医院网站公示，中标公司请在公示后30日内到采购办签订合同，超过公示后30日不响应签订合同的视为放弃中标资格。</w:t>
      </w:r>
    </w:p>
    <w:p>
      <w:pPr>
        <w:pStyle w:val="16"/>
        <w:spacing w:line="240" w:lineRule="auto"/>
        <w:rPr>
          <w:rFonts w:hint="eastAsia" w:ascii="仿宋" w:hAnsi="仿宋" w:eastAsia="仿宋" w:cs="仿宋"/>
          <w:color w:val="auto"/>
          <w:sz w:val="32"/>
          <w:szCs w:val="32"/>
          <w:lang w:val="en-US" w:eastAsia="zh-CN"/>
        </w:rPr>
      </w:pPr>
      <w:r>
        <w:rPr>
          <w:rFonts w:hint="eastAsia" w:ascii="仿宋" w:hAnsi="仿宋" w:eastAsia="仿宋" w:cs="仿宋"/>
          <w:color w:val="auto"/>
          <w:kern w:val="0"/>
          <w:sz w:val="32"/>
          <w:szCs w:val="32"/>
          <w:lang w:val="en-US" w:eastAsia="zh-CN"/>
        </w:rPr>
        <w:t xml:space="preserve">  3.本项目不接受联合体，不允许分包。</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联系人:</w:t>
      </w:r>
      <w:r>
        <w:rPr>
          <w:rFonts w:hint="eastAsia" w:ascii="仿宋" w:hAnsi="仿宋" w:eastAsia="仿宋" w:cs="仿宋"/>
          <w:color w:val="auto"/>
          <w:kern w:val="0"/>
          <w:sz w:val="32"/>
          <w:szCs w:val="32"/>
          <w:lang w:val="en-US" w:eastAsia="zh-CN"/>
        </w:rPr>
        <w:t>蒋</w:t>
      </w:r>
      <w:r>
        <w:rPr>
          <w:rFonts w:hint="eastAsia" w:ascii="仿宋" w:hAnsi="仿宋" w:eastAsia="仿宋" w:cs="仿宋"/>
          <w:color w:val="auto"/>
          <w:kern w:val="0"/>
          <w:sz w:val="32"/>
          <w:szCs w:val="32"/>
          <w:lang w:eastAsia="zh-CN"/>
        </w:rPr>
        <w:t>老师</w:t>
      </w:r>
      <w:r>
        <w:rPr>
          <w:rFonts w:hint="eastAsia" w:ascii="仿宋" w:hAnsi="仿宋" w:eastAsia="仿宋" w:cs="仿宋"/>
          <w:color w:val="auto"/>
          <w:kern w:val="0"/>
          <w:sz w:val="32"/>
          <w:szCs w:val="32"/>
        </w:rPr>
        <w:t xml:space="preserve"> </w:t>
      </w:r>
      <w:r>
        <w:rPr>
          <w:rFonts w:hint="eastAsia" w:ascii="仿宋" w:hAnsi="仿宋" w:eastAsia="仿宋" w:cs="仿宋"/>
          <w:color w:val="auto"/>
          <w:kern w:val="0"/>
          <w:sz w:val="32"/>
          <w:szCs w:val="32"/>
          <w:lang w:val="en-US" w:eastAsia="zh-CN"/>
        </w:rPr>
        <w:t xml:space="preserve">      </w:t>
      </w:r>
      <w:r>
        <w:rPr>
          <w:rFonts w:hint="eastAsia" w:ascii="仿宋" w:hAnsi="仿宋" w:eastAsia="仿宋" w:cs="仿宋"/>
          <w:color w:val="auto"/>
          <w:kern w:val="0"/>
          <w:sz w:val="32"/>
          <w:szCs w:val="32"/>
        </w:rPr>
        <w:t>联系电话:</w:t>
      </w:r>
      <w:r>
        <w:rPr>
          <w:rFonts w:hint="eastAsia" w:ascii="仿宋" w:hAnsi="仿宋" w:eastAsia="仿宋" w:cs="仿宋"/>
          <w:color w:val="auto"/>
          <w:kern w:val="0"/>
          <w:sz w:val="32"/>
          <w:szCs w:val="32"/>
          <w:lang w:val="en-US" w:eastAsia="zh-CN"/>
        </w:rPr>
        <w:t>0833-3211269</w:t>
      </w:r>
    </w:p>
    <w:p>
      <w:pPr>
        <w:rPr>
          <w:rFonts w:hint="eastAsia" w:ascii="黑体" w:hAnsi="黑体" w:eastAsia="黑体" w:cs="黑体"/>
          <w:b/>
          <w:bCs/>
          <w:color w:val="auto"/>
          <w:sz w:val="72"/>
          <w:szCs w:val="72"/>
          <w:lang w:val="en-US" w:eastAsia="zh-CN"/>
        </w:rPr>
      </w:pPr>
      <w:r>
        <w:rPr>
          <w:rFonts w:hint="eastAsia" w:ascii="黑体" w:hAnsi="黑体" w:eastAsia="黑体" w:cs="黑体"/>
          <w:b/>
          <w:bCs/>
          <w:color w:val="auto"/>
          <w:sz w:val="72"/>
          <w:szCs w:val="72"/>
          <w:lang w:val="en-US" w:eastAsia="zh-CN"/>
        </w:rPr>
        <w:br w:type="page"/>
      </w:r>
    </w:p>
    <w:p>
      <w:pPr>
        <w:spacing w:line="300" w:lineRule="exact"/>
        <w:jc w:val="center"/>
        <w:rPr>
          <w:rFonts w:hint="eastAsia" w:ascii="仿宋" w:hAnsi="仿宋" w:eastAsia="仿宋" w:cs="仿宋"/>
          <w:b/>
          <w:sz w:val="32"/>
          <w:szCs w:val="32"/>
          <w:lang w:eastAsia="zh-CN"/>
        </w:rPr>
      </w:pPr>
    </w:p>
    <w:p>
      <w:pPr>
        <w:pStyle w:val="5"/>
        <w:jc w:val="center"/>
        <w:rPr>
          <w:rFonts w:hint="eastAsia"/>
          <w:lang w:eastAsia="zh-CN"/>
        </w:rPr>
      </w:pPr>
      <w:r>
        <w:rPr>
          <w:rFonts w:hint="eastAsia" w:ascii="黑体" w:hAnsi="黑体" w:eastAsia="黑体" w:cs="黑体"/>
          <w:b/>
          <w:sz w:val="36"/>
          <w:szCs w:val="36"/>
          <w:lang w:eastAsia="zh-CN"/>
        </w:rPr>
        <w:t>第二章</w:t>
      </w:r>
      <w:r>
        <w:rPr>
          <w:rFonts w:hint="eastAsia" w:ascii="黑体" w:hAnsi="黑体" w:eastAsia="黑体" w:cs="黑体"/>
          <w:b/>
          <w:sz w:val="36"/>
          <w:szCs w:val="36"/>
          <w:lang w:val="en-US" w:eastAsia="zh-CN"/>
        </w:rPr>
        <w:t xml:space="preserve">  </w:t>
      </w:r>
      <w:r>
        <w:rPr>
          <w:rFonts w:hint="eastAsia" w:ascii="黑体" w:hAnsi="黑体" w:eastAsia="黑体" w:cs="黑体"/>
          <w:b/>
          <w:sz w:val="36"/>
          <w:szCs w:val="36"/>
          <w:lang w:eastAsia="zh-CN"/>
        </w:rPr>
        <w:t>采购须知</w:t>
      </w:r>
    </w:p>
    <w:p>
      <w:pPr>
        <w:pStyle w:val="31"/>
        <w:spacing w:line="240" w:lineRule="auto"/>
        <w:rPr>
          <w:rFonts w:hint="eastAsia"/>
          <w:lang w:eastAsia="zh-CN"/>
        </w:rPr>
      </w:pPr>
    </w:p>
    <w:p>
      <w:pPr>
        <w:spacing w:line="240" w:lineRule="auto"/>
        <w:ind w:firstLine="643" w:firstLineChars="200"/>
        <w:rPr>
          <w:rFonts w:hint="eastAsia" w:ascii="仿宋" w:hAnsi="仿宋" w:eastAsia="仿宋" w:cs="仿宋"/>
          <w:b/>
          <w:sz w:val="32"/>
          <w:szCs w:val="32"/>
          <w:lang w:eastAsia="zh-CN"/>
        </w:rPr>
      </w:pPr>
      <w:r>
        <w:rPr>
          <w:rFonts w:hint="eastAsia" w:ascii="仿宋" w:hAnsi="仿宋" w:eastAsia="仿宋" w:cs="仿宋"/>
          <w:b/>
          <w:sz w:val="32"/>
          <w:szCs w:val="32"/>
          <w:lang w:eastAsia="zh-CN"/>
        </w:rPr>
        <w:t>一、院内采购总则</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本</w:t>
      </w:r>
      <w:r>
        <w:rPr>
          <w:rFonts w:hint="eastAsia" w:ascii="仿宋" w:hAnsi="仿宋" w:eastAsia="仿宋" w:cs="仿宋"/>
          <w:sz w:val="32"/>
          <w:szCs w:val="32"/>
          <w:lang w:val="en-US" w:eastAsia="zh-CN"/>
        </w:rPr>
        <w:t>采购</w:t>
      </w:r>
      <w:r>
        <w:rPr>
          <w:rFonts w:hint="eastAsia" w:ascii="仿宋" w:hAnsi="仿宋" w:eastAsia="仿宋" w:cs="仿宋"/>
          <w:sz w:val="32"/>
          <w:szCs w:val="32"/>
        </w:rPr>
        <w:t>项目参照《中华人民共和国政府采购法》《四川省政府采购非招标采购方式实施办法》等有关法律、法规和规章，通</w:t>
      </w:r>
      <w:r>
        <w:rPr>
          <w:rFonts w:hint="eastAsia" w:ascii="仿宋" w:hAnsi="仿宋" w:eastAsia="仿宋" w:cs="仿宋"/>
          <w:color w:val="auto"/>
          <w:sz w:val="32"/>
          <w:szCs w:val="32"/>
        </w:rPr>
        <w:t>过</w:t>
      </w:r>
      <w:r>
        <w:rPr>
          <w:rFonts w:hint="eastAsia" w:ascii="仿宋" w:hAnsi="仿宋" w:eastAsia="仿宋" w:cs="仿宋"/>
          <w:color w:val="auto"/>
          <w:sz w:val="32"/>
          <w:szCs w:val="32"/>
          <w:lang w:val="en-US" w:eastAsia="zh-CN"/>
        </w:rPr>
        <w:t>综合评分</w:t>
      </w:r>
      <w:r>
        <w:rPr>
          <w:rFonts w:hint="eastAsia" w:ascii="仿宋" w:hAnsi="仿宋" w:eastAsia="仿宋" w:cs="仿宋"/>
          <w:sz w:val="32"/>
          <w:szCs w:val="32"/>
          <w:lang w:val="en-US" w:eastAsia="zh-CN"/>
        </w:rPr>
        <w:t>的</w:t>
      </w:r>
      <w:r>
        <w:rPr>
          <w:rFonts w:hint="eastAsia" w:ascii="仿宋" w:hAnsi="仿宋" w:eastAsia="仿宋" w:cs="仿宋"/>
          <w:sz w:val="32"/>
          <w:szCs w:val="32"/>
        </w:rPr>
        <w:t>方式确定成交供应商。</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本项目</w:t>
      </w:r>
      <w:r>
        <w:rPr>
          <w:rFonts w:hint="eastAsia" w:ascii="仿宋" w:hAnsi="仿宋" w:eastAsia="仿宋" w:cs="仿宋"/>
          <w:sz w:val="32"/>
          <w:szCs w:val="32"/>
          <w:lang w:eastAsia="zh-CN"/>
        </w:rPr>
        <w:t>采购</w:t>
      </w:r>
      <w:r>
        <w:rPr>
          <w:rFonts w:hint="eastAsia" w:ascii="仿宋" w:hAnsi="仿宋" w:eastAsia="仿宋" w:cs="仿宋"/>
          <w:sz w:val="32"/>
          <w:szCs w:val="32"/>
        </w:rPr>
        <w:t>范围包括价格、质量、服务等方面内容，交货时间在合同中约定。</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本采购项目最低要求：符合资质条件、技术参数及商务要求且报价不超过最高限价。</w:t>
      </w:r>
    </w:p>
    <w:p>
      <w:pPr>
        <w:numPr>
          <w:ilvl w:val="0"/>
          <w:numId w:val="0"/>
        </w:num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w:t>
      </w:r>
      <w:r>
        <w:rPr>
          <w:rFonts w:hint="eastAsia" w:ascii="仿宋" w:hAnsi="仿宋" w:eastAsia="仿宋" w:cs="仿宋"/>
          <w:sz w:val="32"/>
          <w:szCs w:val="32"/>
        </w:rPr>
        <w:t>供应商自行承担本项目</w:t>
      </w:r>
      <w:r>
        <w:rPr>
          <w:rFonts w:hint="eastAsia" w:ascii="仿宋" w:hAnsi="仿宋" w:eastAsia="仿宋" w:cs="仿宋"/>
          <w:sz w:val="32"/>
          <w:szCs w:val="32"/>
          <w:lang w:val="en-US" w:eastAsia="zh-CN"/>
        </w:rPr>
        <w:t>采购</w:t>
      </w:r>
      <w:r>
        <w:rPr>
          <w:rFonts w:hint="eastAsia" w:ascii="仿宋" w:hAnsi="仿宋" w:eastAsia="仿宋" w:cs="仿宋"/>
          <w:sz w:val="32"/>
          <w:szCs w:val="32"/>
        </w:rPr>
        <w:t>活动所发生</w:t>
      </w:r>
      <w:r>
        <w:rPr>
          <w:rFonts w:hint="eastAsia" w:ascii="仿宋" w:hAnsi="仿宋" w:eastAsia="仿宋" w:cs="仿宋"/>
          <w:sz w:val="32"/>
          <w:szCs w:val="32"/>
          <w:lang w:eastAsia="zh-CN"/>
        </w:rPr>
        <w:t>现场踏勘、标书制作等</w:t>
      </w:r>
      <w:r>
        <w:rPr>
          <w:rFonts w:hint="eastAsia" w:ascii="仿宋" w:hAnsi="仿宋" w:eastAsia="仿宋" w:cs="仿宋"/>
          <w:sz w:val="32"/>
          <w:szCs w:val="32"/>
        </w:rPr>
        <w:t>费用。</w:t>
      </w:r>
    </w:p>
    <w:p>
      <w:pPr>
        <w:spacing w:line="24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eastAsia="zh-CN"/>
        </w:rPr>
        <w:t>采购</w:t>
      </w:r>
      <w:r>
        <w:rPr>
          <w:rFonts w:hint="eastAsia" w:ascii="仿宋" w:hAnsi="仿宋" w:eastAsia="仿宋" w:cs="仿宋"/>
          <w:b/>
          <w:bCs/>
          <w:sz w:val="32"/>
          <w:szCs w:val="32"/>
        </w:rPr>
        <w:t>响应文件的编制</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采购</w:t>
      </w:r>
      <w:r>
        <w:rPr>
          <w:rFonts w:hint="eastAsia" w:ascii="仿宋" w:hAnsi="仿宋" w:eastAsia="仿宋" w:cs="仿宋"/>
          <w:sz w:val="32"/>
          <w:szCs w:val="32"/>
        </w:rPr>
        <w:t>响应文件的密封：须提供标书一份，密封于一个包装袋内，封口处加盖单位鲜章，封面须注明：“项目名称：手摇式三折病床</w:t>
      </w:r>
      <w:r>
        <w:rPr>
          <w:rFonts w:hint="eastAsia" w:ascii="仿宋" w:hAnsi="仿宋" w:eastAsia="仿宋" w:cs="仿宋"/>
          <w:sz w:val="32"/>
          <w:szCs w:val="32"/>
          <w:lang w:val="en-US" w:eastAsia="zh-CN"/>
        </w:rPr>
        <w:t>院内采购</w:t>
      </w:r>
      <w:r>
        <w:rPr>
          <w:rFonts w:hint="eastAsia" w:ascii="仿宋" w:hAnsi="仿宋" w:eastAsia="仿宋" w:cs="仿宋"/>
          <w:sz w:val="32"/>
          <w:szCs w:val="32"/>
        </w:rPr>
        <w:t xml:space="preserve"> ”，“项目编号：</w:t>
      </w:r>
      <w:r>
        <w:rPr>
          <w:rFonts w:hint="eastAsia" w:ascii="仿宋" w:hAnsi="仿宋" w:eastAsia="仿宋" w:cs="仿宋"/>
          <w:color w:val="555555"/>
          <w:kern w:val="0"/>
          <w:sz w:val="32"/>
          <w:szCs w:val="32"/>
          <w:lang w:val="en-US" w:eastAsia="zh-CN"/>
        </w:rPr>
        <w:t>YNCG021</w:t>
      </w:r>
      <w:r>
        <w:rPr>
          <w:rFonts w:hint="eastAsia" w:ascii="仿宋" w:hAnsi="仿宋" w:eastAsia="仿宋" w:cs="仿宋"/>
          <w:sz w:val="32"/>
          <w:szCs w:val="32"/>
        </w:rPr>
        <w:t xml:space="preserve">  ”，“于</w:t>
      </w:r>
      <w:r>
        <w:rPr>
          <w:rFonts w:hint="eastAsia" w:ascii="仿宋" w:hAnsi="仿宋" w:eastAsia="仿宋" w:cs="仿宋"/>
          <w:sz w:val="32"/>
          <w:szCs w:val="32"/>
          <w:lang w:val="en-US" w:eastAsia="zh-CN"/>
        </w:rPr>
        <w:t>2024</w:t>
      </w:r>
      <w:r>
        <w:rPr>
          <w:rFonts w:hint="eastAsia" w:ascii="仿宋" w:hAnsi="仿宋" w:eastAsia="仿宋" w:cs="仿宋"/>
          <w:sz w:val="32"/>
          <w:szCs w:val="32"/>
        </w:rPr>
        <w:t xml:space="preserve">年 </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4</w:t>
      </w:r>
      <w:r>
        <w:rPr>
          <w:rFonts w:hint="eastAsia" w:ascii="仿宋" w:hAnsi="仿宋" w:eastAsia="仿宋" w:cs="仿宋"/>
          <w:sz w:val="32"/>
          <w:szCs w:val="32"/>
        </w:rPr>
        <w:t>日</w:t>
      </w:r>
      <w:r>
        <w:rPr>
          <w:rFonts w:hint="eastAsia" w:ascii="仿宋" w:hAnsi="仿宋" w:eastAsia="仿宋" w:cs="仿宋"/>
          <w:sz w:val="32"/>
          <w:szCs w:val="32"/>
          <w:lang w:val="en-US" w:eastAsia="zh-CN"/>
        </w:rPr>
        <w:t>17</w:t>
      </w:r>
      <w:r>
        <w:rPr>
          <w:rFonts w:hint="eastAsia" w:ascii="仿宋" w:hAnsi="仿宋" w:eastAsia="仿宋" w:cs="仿宋"/>
          <w:sz w:val="32"/>
          <w:szCs w:val="32"/>
        </w:rPr>
        <w:t>时</w:t>
      </w:r>
      <w:r>
        <w:rPr>
          <w:rFonts w:hint="eastAsia" w:ascii="仿宋" w:hAnsi="仿宋" w:eastAsia="仿宋" w:cs="仿宋"/>
          <w:sz w:val="32"/>
          <w:szCs w:val="32"/>
          <w:lang w:val="en-US" w:eastAsia="zh-CN"/>
        </w:rPr>
        <w:t>30</w:t>
      </w:r>
      <w:r>
        <w:rPr>
          <w:rFonts w:hint="eastAsia" w:ascii="仿宋" w:hAnsi="仿宋" w:eastAsia="仿宋" w:cs="仿宋"/>
          <w:sz w:val="32"/>
          <w:szCs w:val="32"/>
        </w:rPr>
        <w:t>分前不得拆封”等字样。未按询价文件要求密封的响应文件将被拒收。</w:t>
      </w:r>
    </w:p>
    <w:p>
      <w:pPr>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采购</w:t>
      </w:r>
      <w:r>
        <w:rPr>
          <w:rFonts w:hint="eastAsia" w:ascii="仿宋" w:hAnsi="仿宋" w:eastAsia="仿宋" w:cs="仿宋"/>
          <w:sz w:val="32"/>
          <w:szCs w:val="32"/>
        </w:rPr>
        <w:t>响应文件</w:t>
      </w:r>
      <w:r>
        <w:rPr>
          <w:rFonts w:hint="eastAsia" w:ascii="仿宋" w:hAnsi="仿宋" w:eastAsia="仿宋" w:cs="仿宋"/>
          <w:sz w:val="32"/>
          <w:szCs w:val="32"/>
          <w:lang w:eastAsia="zh-CN"/>
        </w:rPr>
        <w:t>分正（副）本装订</w:t>
      </w:r>
      <w:r>
        <w:rPr>
          <w:rFonts w:hint="eastAsia" w:ascii="仿宋" w:hAnsi="仿宋" w:eastAsia="仿宋" w:cs="仿宋"/>
          <w:sz w:val="32"/>
          <w:szCs w:val="32"/>
        </w:rPr>
        <w:t>，</w:t>
      </w:r>
      <w:r>
        <w:rPr>
          <w:rFonts w:hint="eastAsia" w:ascii="仿宋" w:hAnsi="仿宋" w:eastAsia="仿宋" w:cs="仿宋"/>
          <w:sz w:val="32"/>
          <w:szCs w:val="32"/>
          <w:lang w:eastAsia="zh-CN"/>
        </w:rPr>
        <w:t>一正</w:t>
      </w:r>
      <w:r>
        <w:rPr>
          <w:rFonts w:hint="eastAsia" w:ascii="仿宋" w:hAnsi="仿宋" w:eastAsia="仿宋" w:cs="仿宋"/>
          <w:sz w:val="32"/>
          <w:szCs w:val="32"/>
          <w:lang w:val="en-US" w:eastAsia="zh-Hans"/>
        </w:rPr>
        <w:t>一</w:t>
      </w:r>
      <w:r>
        <w:rPr>
          <w:rFonts w:hint="eastAsia" w:ascii="仿宋" w:hAnsi="仿宋" w:eastAsia="仿宋" w:cs="仿宋"/>
          <w:sz w:val="32"/>
          <w:szCs w:val="32"/>
          <w:lang w:eastAsia="zh-CN"/>
        </w:rPr>
        <w:t>副，</w:t>
      </w:r>
      <w:r>
        <w:rPr>
          <w:rFonts w:hint="eastAsia" w:ascii="仿宋" w:hAnsi="仿宋" w:eastAsia="仿宋" w:cs="仿宋"/>
          <w:sz w:val="32"/>
          <w:szCs w:val="32"/>
        </w:rPr>
        <w:t>须用A4幅面纸张打印装订</w:t>
      </w:r>
      <w:r>
        <w:rPr>
          <w:rFonts w:hint="eastAsia" w:ascii="仿宋" w:hAnsi="仿宋" w:eastAsia="仿宋" w:cs="仿宋"/>
          <w:sz w:val="32"/>
          <w:szCs w:val="32"/>
          <w:lang w:eastAsia="zh-CN"/>
        </w:rPr>
        <w:t>。</w:t>
      </w:r>
    </w:p>
    <w:p>
      <w:pPr>
        <w:spacing w:line="240" w:lineRule="auto"/>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采购</w:t>
      </w:r>
      <w:r>
        <w:rPr>
          <w:rFonts w:hint="eastAsia" w:ascii="仿宋" w:hAnsi="仿宋" w:eastAsia="仿宋" w:cs="仿宋"/>
          <w:sz w:val="32"/>
          <w:szCs w:val="32"/>
        </w:rPr>
        <w:t>响应文件的打印和书写应清楚工整，签字确认并加盖公章，否则无效。供应商为法人的，应当由其法定代表人或者代理人签字确认。</w:t>
      </w:r>
    </w:p>
    <w:p>
      <w:pPr>
        <w:spacing w:line="24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w:t>
      </w:r>
      <w:r>
        <w:rPr>
          <w:rFonts w:hint="eastAsia" w:ascii="仿宋" w:hAnsi="仿宋" w:eastAsia="仿宋" w:cs="仿宋"/>
          <w:b/>
          <w:bCs/>
          <w:sz w:val="32"/>
          <w:szCs w:val="32"/>
          <w:lang w:eastAsia="zh-CN"/>
        </w:rPr>
        <w:t>院内采购</w:t>
      </w:r>
      <w:r>
        <w:rPr>
          <w:rFonts w:hint="eastAsia" w:ascii="仿宋" w:hAnsi="仿宋" w:eastAsia="仿宋" w:cs="仿宋"/>
          <w:b/>
          <w:bCs/>
          <w:sz w:val="32"/>
          <w:szCs w:val="32"/>
        </w:rPr>
        <w:t>会议的召开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b/>
          <w:sz w:val="32"/>
          <w:szCs w:val="32"/>
        </w:rPr>
        <w:t xml:space="preserve">  </w:t>
      </w:r>
      <w:r>
        <w:rPr>
          <w:rFonts w:hint="eastAsia" w:ascii="仿宋" w:hAnsi="仿宋" w:eastAsia="仿宋" w:cs="仿宋"/>
          <w:b/>
          <w:sz w:val="32"/>
          <w:szCs w:val="32"/>
          <w:lang w:val="en-US" w:eastAsia="zh-CN"/>
        </w:rPr>
        <w:t xml:space="preserve">  </w:t>
      </w:r>
      <w:r>
        <w:rPr>
          <w:rFonts w:hint="eastAsia" w:ascii="仿宋" w:hAnsi="仿宋" w:eastAsia="仿宋" w:cs="仿宋"/>
          <w:sz w:val="32"/>
          <w:szCs w:val="32"/>
          <w:lang w:eastAsia="zh-CN"/>
        </w:rPr>
        <w:t>院内采购</w:t>
      </w:r>
      <w:r>
        <w:rPr>
          <w:rFonts w:hint="eastAsia" w:ascii="仿宋" w:hAnsi="仿宋" w:eastAsia="仿宋" w:cs="仿宋"/>
          <w:sz w:val="32"/>
          <w:szCs w:val="32"/>
        </w:rPr>
        <w:t>会议顺序:</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院内采购</w:t>
      </w:r>
      <w:r>
        <w:rPr>
          <w:rFonts w:hint="eastAsia" w:ascii="仿宋" w:hAnsi="仿宋" w:eastAsia="仿宋" w:cs="仿宋"/>
          <w:sz w:val="32"/>
          <w:szCs w:val="32"/>
        </w:rPr>
        <w:t>由</w:t>
      </w:r>
      <w:r>
        <w:rPr>
          <w:rFonts w:hint="eastAsia" w:ascii="仿宋" w:hAnsi="仿宋" w:eastAsia="仿宋" w:cs="仿宋"/>
          <w:sz w:val="32"/>
          <w:szCs w:val="32"/>
          <w:lang w:eastAsia="zh-CN"/>
        </w:rPr>
        <w:t>采购办</w:t>
      </w:r>
      <w:r>
        <w:rPr>
          <w:rFonts w:hint="eastAsia" w:ascii="仿宋" w:hAnsi="仿宋" w:eastAsia="仿宋" w:cs="仿宋"/>
          <w:sz w:val="32"/>
          <w:szCs w:val="32"/>
        </w:rPr>
        <w:t>主持；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由监督人员检查</w:t>
      </w:r>
      <w:r>
        <w:rPr>
          <w:rFonts w:hint="eastAsia" w:ascii="仿宋" w:hAnsi="仿宋" w:eastAsia="仿宋" w:cs="仿宋"/>
          <w:sz w:val="32"/>
          <w:szCs w:val="32"/>
          <w:lang w:eastAsia="zh-CN"/>
        </w:rPr>
        <w:t>采购</w:t>
      </w:r>
      <w:r>
        <w:rPr>
          <w:rFonts w:hint="eastAsia" w:ascii="仿宋" w:hAnsi="仿宋" w:eastAsia="仿宋" w:cs="仿宋"/>
          <w:sz w:val="32"/>
          <w:szCs w:val="32"/>
        </w:rPr>
        <w:t>响应文件密封情况；</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将符合密封要求的资格、技术商务、报价</w:t>
      </w:r>
      <w:r>
        <w:rPr>
          <w:rFonts w:hint="eastAsia" w:ascii="仿宋" w:hAnsi="仿宋" w:eastAsia="仿宋" w:cs="仿宋"/>
          <w:sz w:val="32"/>
          <w:szCs w:val="32"/>
          <w:lang w:val="en-US" w:eastAsia="zh-CN"/>
        </w:rPr>
        <w:t>响应</w:t>
      </w:r>
      <w:r>
        <w:rPr>
          <w:rFonts w:hint="eastAsia" w:ascii="仿宋" w:hAnsi="仿宋" w:eastAsia="仿宋" w:cs="仿宋"/>
          <w:sz w:val="32"/>
          <w:szCs w:val="32"/>
        </w:rPr>
        <w:t>文件送</w:t>
      </w:r>
      <w:r>
        <w:rPr>
          <w:rFonts w:hint="eastAsia" w:ascii="仿宋" w:hAnsi="仿宋" w:eastAsia="仿宋" w:cs="仿宋"/>
          <w:sz w:val="32"/>
          <w:szCs w:val="32"/>
          <w:lang w:eastAsia="zh-CN"/>
        </w:rPr>
        <w:t>评审</w:t>
      </w:r>
      <w:r>
        <w:rPr>
          <w:rFonts w:hint="eastAsia" w:ascii="仿宋" w:hAnsi="仿宋" w:eastAsia="仿宋" w:cs="仿宋"/>
          <w:sz w:val="32"/>
          <w:szCs w:val="32"/>
        </w:rPr>
        <w:t>小组评审；</w:t>
      </w:r>
    </w:p>
    <w:p>
      <w:pPr>
        <w:pStyle w:val="7"/>
        <w:spacing w:line="240" w:lineRule="auto"/>
        <w:ind w:left="0" w:leftChars="0" w:firstLine="640" w:firstLineChars="200"/>
        <w:rPr>
          <w:rFonts w:hint="eastAsia" w:ascii="仿宋" w:hAnsi="仿宋" w:eastAsia="仿宋" w:cs="仿宋"/>
          <w:color w:val="000000"/>
          <w:sz w:val="32"/>
          <w:szCs w:val="32"/>
          <w:shd w:val="clear" w:color="auto" w:fill="auto"/>
        </w:rPr>
      </w:pP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采购</w:t>
      </w:r>
      <w:r>
        <w:rPr>
          <w:rFonts w:hint="eastAsia" w:ascii="仿宋" w:hAnsi="仿宋" w:eastAsia="仿宋" w:cs="仿宋"/>
          <w:sz w:val="32"/>
          <w:szCs w:val="32"/>
        </w:rPr>
        <w:t>结束后，由</w:t>
      </w:r>
      <w:r>
        <w:rPr>
          <w:rFonts w:hint="eastAsia" w:ascii="仿宋" w:hAnsi="仿宋" w:eastAsia="仿宋" w:cs="仿宋"/>
          <w:sz w:val="32"/>
          <w:szCs w:val="32"/>
          <w:lang w:eastAsia="zh-CN"/>
        </w:rPr>
        <w:t>评审小组根据报价情况</w:t>
      </w:r>
      <w:r>
        <w:rPr>
          <w:rFonts w:hint="eastAsia" w:ascii="仿宋" w:hAnsi="仿宋" w:eastAsia="仿宋" w:cs="仿宋"/>
          <w:sz w:val="32"/>
          <w:szCs w:val="32"/>
        </w:rPr>
        <w:t>，</w:t>
      </w:r>
      <w:r>
        <w:rPr>
          <w:rFonts w:hint="eastAsia" w:ascii="仿宋" w:hAnsi="仿宋" w:eastAsia="仿宋" w:cs="仿宋"/>
          <w:color w:val="000000"/>
          <w:sz w:val="32"/>
          <w:szCs w:val="32"/>
          <w:shd w:val="clear" w:color="auto" w:fill="auto"/>
        </w:rPr>
        <w:t>推荐成交候选供应商。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、质疑提出与答复</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供应商对采购文件中资格、技术、商务要求以及对采购文件编制、采购程序的询问或质疑，应以书面形式（包括询问或质疑具体内容）并实名签字盖章在递交院内采购文件截止时间前一日之前向采购办提出，并由采购办进行统一回复。供应商在3个工作日内应一次性提出针对同一采购程序环节的质疑。质疑采取书面形式，质疑函原件采取当面递交采购办。受理日期则以采购办收到质疑函原件之日计算。</w:t>
      </w:r>
      <w:r>
        <w:rPr>
          <w:rFonts w:hint="eastAsia" w:ascii="仿宋" w:hAnsi="仿宋" w:eastAsia="仿宋" w:cs="仿宋"/>
          <w:sz w:val="32"/>
          <w:szCs w:val="32"/>
          <w:lang w:val="zh-CN" w:eastAsia="zh-CN"/>
        </w:rPr>
        <w:t>受理联系人及联系方式见公告</w:t>
      </w:r>
      <w:r>
        <w:rPr>
          <w:rFonts w:hint="eastAsia" w:ascii="仿宋" w:hAnsi="仿宋" w:eastAsia="仿宋" w:cs="仿宋"/>
          <w:sz w:val="32"/>
          <w:szCs w:val="32"/>
          <w:lang w:val="en-US" w:eastAsia="zh-CN"/>
        </w:rPr>
        <w:t>采购办</w:t>
      </w:r>
      <w:r>
        <w:rPr>
          <w:rFonts w:hint="eastAsia" w:ascii="仿宋" w:hAnsi="仿宋" w:eastAsia="仿宋" w:cs="仿宋"/>
          <w:sz w:val="32"/>
          <w:szCs w:val="32"/>
          <w:lang w:val="zh-CN" w:eastAsia="zh-CN"/>
        </w:rPr>
        <w:t>联系人。</w:t>
      </w:r>
    </w:p>
    <w:p>
      <w:pPr>
        <w:spacing w:line="240" w:lineRule="auto"/>
        <w:rPr>
          <w:rFonts w:hint="eastAsia" w:ascii="黑体" w:hAnsi="黑体" w:eastAsia="黑体" w:cs="黑体"/>
          <w:b/>
          <w:bCs/>
          <w:color w:val="auto"/>
          <w:sz w:val="44"/>
          <w:szCs w:val="44"/>
          <w:lang w:eastAsia="zh-CN"/>
        </w:rPr>
      </w:pPr>
      <w:r>
        <w:rPr>
          <w:rFonts w:hint="eastAsia" w:ascii="黑体" w:hAnsi="黑体" w:eastAsia="黑体" w:cs="黑体"/>
          <w:b/>
          <w:bCs/>
          <w:color w:val="auto"/>
          <w:sz w:val="44"/>
          <w:szCs w:val="44"/>
          <w:lang w:eastAsia="zh-CN"/>
        </w:rPr>
        <w:br w:type="page"/>
      </w:r>
    </w:p>
    <w:p>
      <w:pPr>
        <w:pageBreakBefore w:val="0"/>
        <w:kinsoku/>
        <w:wordWrap/>
        <w:overflowPunct/>
        <w:topLinePunct w:val="0"/>
        <w:autoSpaceDE/>
        <w:autoSpaceDN/>
        <w:bidi w:val="0"/>
        <w:spacing w:line="360" w:lineRule="exact"/>
        <w:jc w:val="center"/>
        <w:outlineLvl w:val="0"/>
        <w:rPr>
          <w:rFonts w:hint="eastAsia" w:ascii="黑体" w:hAnsi="黑体" w:eastAsia="黑体" w:cs="黑体"/>
          <w:sz w:val="36"/>
          <w:szCs w:val="36"/>
        </w:rPr>
      </w:pPr>
      <w:r>
        <w:rPr>
          <w:rFonts w:hint="eastAsia" w:ascii="黑体" w:hAnsi="黑体" w:eastAsia="黑体" w:cs="黑体"/>
          <w:b/>
          <w:sz w:val="36"/>
          <w:szCs w:val="36"/>
        </w:rPr>
        <w:t xml:space="preserve">第三章  </w:t>
      </w:r>
      <w:r>
        <w:rPr>
          <w:rFonts w:hint="eastAsia" w:ascii="黑体" w:hAnsi="黑体" w:eastAsia="黑体" w:cs="黑体"/>
          <w:b/>
          <w:sz w:val="36"/>
          <w:szCs w:val="36"/>
          <w:lang w:eastAsia="zh-CN"/>
        </w:rPr>
        <w:t>采购</w:t>
      </w:r>
      <w:r>
        <w:rPr>
          <w:rFonts w:hint="eastAsia" w:ascii="黑体" w:hAnsi="黑体" w:eastAsia="黑体" w:cs="黑体"/>
          <w:b/>
          <w:sz w:val="36"/>
          <w:szCs w:val="36"/>
        </w:rPr>
        <w:t>程序和成交标准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采购办</w:t>
      </w:r>
      <w:r>
        <w:rPr>
          <w:rFonts w:hint="eastAsia" w:ascii="仿宋" w:hAnsi="仿宋" w:eastAsia="仿宋" w:cs="仿宋"/>
          <w:sz w:val="32"/>
          <w:szCs w:val="32"/>
        </w:rPr>
        <w:t>将根据</w:t>
      </w:r>
      <w:r>
        <w:rPr>
          <w:rFonts w:hint="eastAsia" w:ascii="仿宋" w:hAnsi="仿宋" w:eastAsia="仿宋" w:cs="仿宋"/>
          <w:sz w:val="32"/>
          <w:szCs w:val="32"/>
          <w:lang w:eastAsia="zh-CN"/>
        </w:rPr>
        <w:t>采购邀请</w:t>
      </w:r>
      <w:r>
        <w:rPr>
          <w:rFonts w:hint="eastAsia" w:ascii="仿宋" w:hAnsi="仿宋" w:eastAsia="仿宋" w:cs="仿宋"/>
          <w:sz w:val="32"/>
          <w:szCs w:val="32"/>
        </w:rPr>
        <w:t>中规定的递交文件截止时间前接受供应商响应文件，并按以下程序组织</w:t>
      </w:r>
      <w:r>
        <w:rPr>
          <w:rFonts w:hint="eastAsia" w:ascii="仿宋" w:hAnsi="仿宋" w:eastAsia="仿宋" w:cs="仿宋"/>
          <w:sz w:val="32"/>
          <w:szCs w:val="32"/>
          <w:lang w:eastAsia="zh-CN"/>
        </w:rPr>
        <w:t>采购</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一、组织</w:t>
      </w:r>
      <w:r>
        <w:rPr>
          <w:rFonts w:hint="eastAsia" w:ascii="仿宋" w:hAnsi="仿宋" w:eastAsia="仿宋" w:cs="仿宋"/>
          <w:sz w:val="32"/>
          <w:szCs w:val="32"/>
          <w:lang w:eastAsia="zh-CN"/>
        </w:rPr>
        <w:t>采购评审</w:t>
      </w:r>
      <w:r>
        <w:rPr>
          <w:rFonts w:hint="eastAsia" w:ascii="仿宋" w:hAnsi="仿宋" w:eastAsia="仿宋" w:cs="仿宋"/>
          <w:sz w:val="32"/>
          <w:szCs w:val="32"/>
        </w:rPr>
        <w:t>对供应商递交的响应文件进行资格审查和符合性审查。</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sz w:val="32"/>
          <w:szCs w:val="32"/>
        </w:rPr>
        <w:t>二、</w:t>
      </w:r>
      <w:r>
        <w:rPr>
          <w:rFonts w:hint="eastAsia" w:ascii="仿宋" w:hAnsi="仿宋" w:eastAsia="仿宋" w:cs="仿宋"/>
          <w:color w:val="000000"/>
          <w:sz w:val="32"/>
          <w:szCs w:val="32"/>
        </w:rPr>
        <w:t>通过资格审查和符合性审查供应商数量不足</w:t>
      </w:r>
      <w:r>
        <w:rPr>
          <w:rFonts w:hint="eastAsia" w:ascii="仿宋" w:hAnsi="仿宋" w:eastAsia="仿宋" w:cs="仿宋"/>
          <w:color w:val="000000"/>
          <w:sz w:val="32"/>
          <w:szCs w:val="32"/>
          <w:lang w:val="en-US" w:eastAsia="zh-CN"/>
        </w:rPr>
        <w:t>两</w:t>
      </w:r>
      <w:r>
        <w:rPr>
          <w:rFonts w:hint="eastAsia" w:ascii="仿宋" w:hAnsi="仿宋" w:eastAsia="仿宋" w:cs="仿宋"/>
          <w:color w:val="000000"/>
          <w:sz w:val="32"/>
          <w:szCs w:val="32"/>
        </w:rPr>
        <w:t>家的，本次采购活动终止。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出现但不限于下列情况之一的，其响应文件将被视为无效文件不予通过资格审查和符合性审查：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hint="eastAsia" w:ascii="仿宋" w:hAnsi="仿宋" w:eastAsia="仿宋" w:cs="仿宋"/>
          <w:color w:val="000000"/>
          <w:sz w:val="32"/>
          <w:szCs w:val="32"/>
        </w:rPr>
        <w:t>资格不符合要求的；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响应文件未实质性响应</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文件要求的；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响应文件无法定代表人签字，或签字人未被法定代表人授权的</w:t>
      </w:r>
      <w:r>
        <w:rPr>
          <w:rFonts w:hint="eastAsia" w:ascii="仿宋" w:hAnsi="仿宋" w:eastAsia="仿宋" w:cs="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所报总价超出项目预算且无法支付的；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kern w:val="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不同</w:t>
      </w:r>
      <w:r>
        <w:rPr>
          <w:rFonts w:hint="eastAsia" w:ascii="仿宋" w:hAnsi="仿宋" w:eastAsia="仿宋" w:cs="仿宋"/>
          <w:kern w:val="0"/>
          <w:sz w:val="32"/>
          <w:szCs w:val="32"/>
        </w:rPr>
        <w:t>供应商负责人为同一人或者存在直接控股、管理关系的；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三、</w:t>
      </w:r>
      <w:r>
        <w:rPr>
          <w:rFonts w:hint="eastAsia" w:ascii="仿宋" w:hAnsi="仿宋" w:eastAsia="仿宋" w:cs="仿宋"/>
          <w:color w:val="000000"/>
          <w:sz w:val="32"/>
          <w:szCs w:val="32"/>
        </w:rPr>
        <w:t>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中，</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的任何一方不得透露与</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有关的其他供应商的技术资料、价格和其他信息。</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轮次一般为一轮（评审</w:t>
      </w:r>
      <w:r>
        <w:rPr>
          <w:rFonts w:hint="eastAsia" w:ascii="仿宋" w:hAnsi="仿宋" w:eastAsia="仿宋" w:cs="仿宋"/>
          <w:color w:val="000000"/>
          <w:sz w:val="32"/>
          <w:szCs w:val="32"/>
          <w:lang w:eastAsia="zh-CN"/>
        </w:rPr>
        <w:t>小组</w:t>
      </w:r>
      <w:r>
        <w:rPr>
          <w:rFonts w:hint="eastAsia" w:ascii="仿宋" w:hAnsi="仿宋" w:eastAsia="仿宋" w:cs="仿宋"/>
          <w:color w:val="000000"/>
          <w:sz w:val="32"/>
          <w:szCs w:val="32"/>
        </w:rPr>
        <w:t>可根据</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情况调整轮次）。如供应商在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过程中存在违法、违纪行为，</w:t>
      </w:r>
      <w:r>
        <w:rPr>
          <w:rFonts w:hint="eastAsia" w:ascii="仿宋" w:hAnsi="仿宋" w:eastAsia="仿宋" w:cs="仿宋"/>
          <w:color w:val="000000"/>
          <w:sz w:val="32"/>
          <w:szCs w:val="32"/>
          <w:lang w:eastAsia="zh-CN"/>
        </w:rPr>
        <w:t>评审小组</w:t>
      </w:r>
      <w:r>
        <w:rPr>
          <w:rFonts w:hint="eastAsia" w:ascii="仿宋" w:hAnsi="仿宋" w:eastAsia="仿宋" w:cs="仿宋"/>
          <w:color w:val="000000"/>
          <w:sz w:val="32"/>
          <w:szCs w:val="32"/>
        </w:rPr>
        <w:t>将不允许其参加最后报价。</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结束后，</w:t>
      </w:r>
      <w:r>
        <w:rPr>
          <w:rFonts w:hint="eastAsia" w:ascii="仿宋" w:hAnsi="仿宋" w:eastAsia="仿宋" w:cs="仿宋"/>
          <w:color w:val="000000"/>
          <w:sz w:val="32"/>
          <w:szCs w:val="32"/>
          <w:lang w:eastAsia="zh-CN"/>
        </w:rPr>
        <w:t>评审小组要求供应商现场进行</w:t>
      </w:r>
      <w:r>
        <w:rPr>
          <w:rFonts w:hint="eastAsia" w:ascii="仿宋" w:hAnsi="仿宋" w:eastAsia="仿宋" w:cs="仿宋"/>
          <w:sz w:val="32"/>
          <w:szCs w:val="32"/>
        </w:rPr>
        <w:t>最终报价</w:t>
      </w:r>
      <w:r>
        <w:rPr>
          <w:rFonts w:hint="eastAsia" w:ascii="仿宋" w:hAnsi="仿宋" w:eastAsia="仿宋" w:cs="仿宋"/>
          <w:sz w:val="32"/>
          <w:szCs w:val="32"/>
          <w:lang w:eastAsia="zh-CN"/>
        </w:rPr>
        <w:t>填报后</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评审小组</w:t>
      </w:r>
      <w:r>
        <w:rPr>
          <w:rFonts w:hint="eastAsia" w:ascii="仿宋" w:hAnsi="仿宋" w:eastAsia="仿宋" w:cs="仿宋"/>
          <w:color w:val="000000"/>
          <w:sz w:val="32"/>
          <w:szCs w:val="32"/>
        </w:rPr>
        <w:t>根据符合采购需求、质量和服务相等且</w:t>
      </w:r>
      <w:r>
        <w:rPr>
          <w:rFonts w:hint="eastAsia" w:ascii="仿宋" w:hAnsi="仿宋" w:eastAsia="仿宋" w:cs="仿宋"/>
          <w:color w:val="auto"/>
          <w:sz w:val="32"/>
          <w:szCs w:val="32"/>
          <w:lang w:eastAsia="zh-CN"/>
        </w:rPr>
        <w:t>综合评分最高</w:t>
      </w:r>
      <w:r>
        <w:rPr>
          <w:rFonts w:hint="eastAsia" w:ascii="仿宋" w:hAnsi="仿宋" w:eastAsia="仿宋" w:cs="仿宋"/>
          <w:color w:val="000000"/>
          <w:sz w:val="32"/>
          <w:szCs w:val="32"/>
        </w:rPr>
        <w:t>的原则推荐成交候选供应商，由采购人授权</w:t>
      </w:r>
      <w:r>
        <w:rPr>
          <w:rFonts w:hint="eastAsia" w:ascii="仿宋" w:hAnsi="仿宋" w:eastAsia="仿宋" w:cs="仿宋"/>
          <w:color w:val="000000"/>
          <w:sz w:val="32"/>
          <w:szCs w:val="32"/>
          <w:lang w:eastAsia="zh-CN"/>
        </w:rPr>
        <w:t>评审小组</w:t>
      </w:r>
      <w:r>
        <w:rPr>
          <w:rFonts w:hint="eastAsia" w:ascii="仿宋" w:hAnsi="仿宋" w:eastAsia="仿宋" w:cs="仿宋"/>
          <w:color w:val="000000"/>
          <w:sz w:val="32"/>
          <w:szCs w:val="32"/>
        </w:rPr>
        <w:t>确认成交供应商，</w:t>
      </w:r>
      <w:r>
        <w:rPr>
          <w:rFonts w:hint="eastAsia" w:ascii="仿宋" w:hAnsi="仿宋" w:eastAsia="仿宋" w:cs="仿宋"/>
          <w:color w:val="000000"/>
          <w:sz w:val="32"/>
          <w:szCs w:val="32"/>
          <w:lang w:eastAsia="zh-CN"/>
        </w:rPr>
        <w:t>采购办</w:t>
      </w:r>
      <w:r>
        <w:rPr>
          <w:rFonts w:hint="eastAsia" w:ascii="仿宋" w:hAnsi="仿宋" w:eastAsia="仿宋" w:cs="仿宋"/>
          <w:color w:val="000000"/>
          <w:sz w:val="32"/>
          <w:szCs w:val="32"/>
        </w:rPr>
        <w:t>于</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个工作日内在</w:t>
      </w:r>
      <w:r>
        <w:rPr>
          <w:rFonts w:hint="eastAsia" w:ascii="仿宋" w:hAnsi="仿宋" w:eastAsia="仿宋" w:cs="仿宋"/>
          <w:color w:val="000000"/>
          <w:sz w:val="32"/>
          <w:szCs w:val="32"/>
          <w:lang w:eastAsia="zh-CN"/>
        </w:rPr>
        <w:t>乐山市五通桥区人民医院</w:t>
      </w:r>
      <w:r>
        <w:rPr>
          <w:rFonts w:hint="eastAsia" w:ascii="仿宋" w:hAnsi="仿宋" w:eastAsia="仿宋" w:cs="仿宋"/>
          <w:color w:val="000000"/>
          <w:sz w:val="32"/>
          <w:szCs w:val="32"/>
          <w:lang w:val="en-US" w:eastAsia="zh-CN"/>
        </w:rPr>
        <w:t>网</w:t>
      </w:r>
      <w:r>
        <w:rPr>
          <w:rFonts w:hint="eastAsia" w:ascii="仿宋" w:hAnsi="仿宋" w:eastAsia="仿宋" w:cs="仿宋"/>
          <w:color w:val="000000"/>
          <w:sz w:val="32"/>
          <w:szCs w:val="32"/>
        </w:rPr>
        <w:t>上公告成交结果。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四、成交标准</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按</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最终报价为依据（未组织</w:t>
      </w:r>
      <w:r>
        <w:rPr>
          <w:rFonts w:hint="eastAsia" w:ascii="仿宋" w:hAnsi="仿宋" w:eastAsia="仿宋" w:cs="仿宋"/>
          <w:color w:val="000000"/>
          <w:sz w:val="32"/>
          <w:szCs w:val="32"/>
          <w:lang w:val="en-US" w:eastAsia="zh-CN"/>
        </w:rPr>
        <w:t>二次报价</w:t>
      </w:r>
      <w:r>
        <w:rPr>
          <w:rFonts w:hint="eastAsia" w:ascii="仿宋" w:hAnsi="仿宋" w:eastAsia="仿宋" w:cs="仿宋"/>
          <w:color w:val="000000"/>
          <w:sz w:val="32"/>
          <w:szCs w:val="32"/>
        </w:rPr>
        <w:t>的，以报价响应文件中的报价为依据），体现满足采购项目要求</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且</w:t>
      </w:r>
      <w:r>
        <w:rPr>
          <w:rFonts w:hint="eastAsia" w:ascii="仿宋" w:hAnsi="仿宋" w:eastAsia="仿宋" w:cs="仿宋"/>
          <w:color w:val="auto"/>
          <w:sz w:val="32"/>
          <w:szCs w:val="32"/>
          <w:lang w:eastAsia="zh-CN"/>
        </w:rPr>
        <w:t>综合评分最高</w:t>
      </w:r>
      <w:r>
        <w:rPr>
          <w:rFonts w:hint="eastAsia" w:ascii="仿宋" w:hAnsi="仿宋" w:eastAsia="仿宋" w:cs="仿宋"/>
          <w:color w:val="000000"/>
          <w:sz w:val="32"/>
          <w:szCs w:val="32"/>
        </w:rPr>
        <w:t>原则确定成交供应商。</w:t>
      </w:r>
    </w:p>
    <w:p>
      <w:pPr>
        <w:ind w:firstLine="640" w:firstLineChars="200"/>
        <w:jc w:val="left"/>
        <w:rPr>
          <w:rFonts w:hint="default" w:eastAsia="仿宋"/>
          <w:lang w:val="en-US" w:eastAsia="zh-CN"/>
        </w:rPr>
      </w:pPr>
      <w:r>
        <w:rPr>
          <w:rFonts w:hint="eastAsia" w:ascii="仿宋" w:hAnsi="仿宋" w:eastAsia="仿宋" w:cs="仿宋"/>
          <w:color w:val="000000"/>
          <w:sz w:val="32"/>
          <w:szCs w:val="32"/>
          <w:lang w:val="en-US" w:eastAsia="zh-CN"/>
        </w:rPr>
        <w:t>采用</w:t>
      </w:r>
      <w:r>
        <w:rPr>
          <w:rFonts w:hint="eastAsia" w:ascii="仿宋" w:hAnsi="仿宋" w:eastAsia="仿宋" w:cs="仿宋"/>
          <w:color w:val="000000"/>
          <w:sz w:val="32"/>
          <w:szCs w:val="32"/>
        </w:rPr>
        <w:t>综合评分法的采购项目，提供相同品牌产品且通过资格审查、符合性审查的不同投标人参加同一合同项下投标的，按一家投标人计算，评审后得分最高的同品牌投标人获得中标人推荐资格；评审得分相同的，</w:t>
      </w:r>
      <w:r>
        <w:rPr>
          <w:rFonts w:hint="eastAsia" w:ascii="仿宋" w:hAnsi="仿宋" w:eastAsia="仿宋" w:cs="仿宋"/>
          <w:color w:val="000000"/>
          <w:sz w:val="32"/>
          <w:szCs w:val="32"/>
          <w:lang w:val="en-US" w:eastAsia="zh-CN"/>
        </w:rPr>
        <w:t>则价格最低的供应商</w:t>
      </w:r>
      <w:r>
        <w:rPr>
          <w:rFonts w:hint="eastAsia" w:ascii="仿宋" w:hAnsi="仿宋" w:eastAsia="仿宋" w:cs="仿宋"/>
          <w:color w:val="000000"/>
          <w:sz w:val="32"/>
          <w:szCs w:val="32"/>
        </w:rPr>
        <w:t>确定</w:t>
      </w:r>
      <w:r>
        <w:rPr>
          <w:rFonts w:hint="eastAsia" w:ascii="仿宋" w:hAnsi="仿宋" w:eastAsia="仿宋" w:cs="仿宋"/>
          <w:color w:val="000000"/>
          <w:sz w:val="32"/>
          <w:szCs w:val="32"/>
          <w:lang w:val="en-US" w:eastAsia="zh-CN"/>
        </w:rPr>
        <w:t>第一候选人。价格也相同时，</w:t>
      </w:r>
      <w:r>
        <w:rPr>
          <w:rFonts w:hint="eastAsia" w:ascii="仿宋" w:hAnsi="仿宋" w:eastAsia="仿宋" w:cs="仿宋"/>
          <w:color w:val="000000"/>
          <w:sz w:val="32"/>
          <w:szCs w:val="32"/>
        </w:rPr>
        <w:t>由采购人</w:t>
      </w:r>
      <w:r>
        <w:rPr>
          <w:rFonts w:hint="eastAsia" w:ascii="仿宋" w:hAnsi="仿宋" w:eastAsia="仿宋" w:cs="仿宋"/>
          <w:color w:val="000000"/>
          <w:sz w:val="32"/>
          <w:szCs w:val="32"/>
          <w:lang w:val="en-US" w:eastAsia="zh-CN"/>
        </w:rPr>
        <w:t>组织</w:t>
      </w:r>
      <w:r>
        <w:rPr>
          <w:rFonts w:hint="eastAsia" w:ascii="仿宋" w:hAnsi="仿宋" w:eastAsia="仿宋" w:cs="仿宋"/>
          <w:color w:val="000000"/>
          <w:sz w:val="32"/>
          <w:szCs w:val="32"/>
        </w:rPr>
        <w:t>评标</w:t>
      </w:r>
      <w:r>
        <w:rPr>
          <w:rFonts w:hint="eastAsia" w:ascii="仿宋" w:hAnsi="仿宋" w:eastAsia="仿宋" w:cs="仿宋"/>
          <w:color w:val="000000"/>
          <w:sz w:val="32"/>
          <w:szCs w:val="32"/>
          <w:lang w:val="en-US" w:eastAsia="zh-CN"/>
        </w:rPr>
        <w:t>小组</w:t>
      </w:r>
      <w:r>
        <w:rPr>
          <w:rFonts w:hint="eastAsia" w:ascii="仿宋" w:hAnsi="仿宋" w:eastAsia="仿宋" w:cs="仿宋"/>
          <w:color w:val="000000"/>
          <w:sz w:val="32"/>
          <w:szCs w:val="32"/>
        </w:rPr>
        <w:t>按照采取随机抽取方式确定</w:t>
      </w:r>
      <w:r>
        <w:rPr>
          <w:rFonts w:hint="eastAsia" w:ascii="仿宋" w:hAnsi="仿宋" w:eastAsia="仿宋" w:cs="仿宋"/>
          <w:color w:val="000000"/>
          <w:sz w:val="32"/>
          <w:szCs w:val="32"/>
          <w:lang w:val="en-US" w:eastAsia="zh-CN"/>
        </w:rPr>
        <w:t>第一候选人</w:t>
      </w:r>
      <w:r>
        <w:rPr>
          <w:rFonts w:hint="eastAsia" w:ascii="仿宋" w:hAnsi="仿宋" w:eastAsia="仿宋" w:cs="仿宋"/>
          <w:color w:val="000000"/>
          <w:sz w:val="32"/>
          <w:szCs w:val="32"/>
        </w:rPr>
        <w:t>，其他投标无效。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五、</w:t>
      </w:r>
      <w:r>
        <w:rPr>
          <w:rFonts w:hint="eastAsia" w:ascii="仿宋" w:hAnsi="仿宋" w:eastAsia="仿宋" w:cs="仿宋"/>
          <w:color w:val="000000"/>
          <w:sz w:val="32"/>
          <w:szCs w:val="32"/>
          <w:lang w:eastAsia="zh-CN"/>
        </w:rPr>
        <w:t>院内采购评审小组</w:t>
      </w:r>
      <w:r>
        <w:rPr>
          <w:rFonts w:hint="eastAsia" w:ascii="仿宋" w:hAnsi="仿宋" w:eastAsia="仿宋" w:cs="仿宋"/>
          <w:color w:val="000000"/>
          <w:sz w:val="32"/>
          <w:szCs w:val="32"/>
        </w:rPr>
        <w:t>的组建。</w:t>
      </w:r>
      <w:r>
        <w:rPr>
          <w:rFonts w:hint="eastAsia" w:ascii="仿宋" w:hAnsi="仿宋" w:eastAsia="仿宋" w:cs="仿宋"/>
          <w:color w:val="000000"/>
          <w:sz w:val="32"/>
          <w:szCs w:val="32"/>
          <w:lang w:eastAsia="zh-CN"/>
        </w:rPr>
        <w:t>评审小组</w:t>
      </w:r>
      <w:r>
        <w:rPr>
          <w:rFonts w:hint="eastAsia" w:ascii="仿宋" w:hAnsi="仿宋" w:eastAsia="仿宋" w:cs="仿宋"/>
          <w:color w:val="000000"/>
          <w:sz w:val="32"/>
          <w:szCs w:val="32"/>
        </w:rPr>
        <w:t>依法由三人</w:t>
      </w:r>
      <w:r>
        <w:rPr>
          <w:rFonts w:hint="eastAsia" w:ascii="仿宋" w:hAnsi="仿宋" w:eastAsia="仿宋" w:cs="仿宋"/>
          <w:color w:val="000000"/>
          <w:sz w:val="32"/>
          <w:szCs w:val="32"/>
          <w:lang w:eastAsia="zh-CN"/>
        </w:rPr>
        <w:t>及</w:t>
      </w:r>
      <w:r>
        <w:rPr>
          <w:rFonts w:hint="eastAsia" w:ascii="仿宋" w:hAnsi="仿宋" w:eastAsia="仿宋" w:cs="仿宋"/>
          <w:color w:val="000000"/>
          <w:sz w:val="32"/>
          <w:szCs w:val="32"/>
        </w:rPr>
        <w:t>以上单数组成。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六、</w:t>
      </w:r>
      <w:r>
        <w:rPr>
          <w:rFonts w:hint="eastAsia" w:ascii="仿宋" w:hAnsi="仿宋" w:eastAsia="仿宋" w:cs="仿宋"/>
          <w:color w:val="000000"/>
          <w:sz w:val="32"/>
          <w:szCs w:val="32"/>
        </w:rPr>
        <w:t>低于成本价不正当竞争预防措施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在评审过程中，供应商报价明显低于其他有效供应商报价，有可能影响产品质量或者不能诚信履约的，</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小组应当要求其在</w:t>
      </w:r>
      <w:r>
        <w:rPr>
          <w:rFonts w:hint="eastAsia" w:ascii="仿宋" w:hAnsi="仿宋" w:eastAsia="仿宋" w:cs="仿宋"/>
          <w:color w:val="000000"/>
          <w:sz w:val="32"/>
          <w:szCs w:val="32"/>
          <w:lang w:val="en-US" w:eastAsia="zh-CN"/>
        </w:rPr>
        <w:t>半</w:t>
      </w:r>
      <w:r>
        <w:rPr>
          <w:rFonts w:hint="eastAsia" w:ascii="仿宋" w:hAnsi="仿宋" w:eastAsia="仿宋" w:cs="仿宋"/>
          <w:color w:val="000000"/>
          <w:sz w:val="32"/>
          <w:szCs w:val="32"/>
        </w:rPr>
        <w:t>小时内提供书面说明，并提交相关证明材料，供应商不能证明其报价合理性的，</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小组应当将其作为无效处理。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供应商的书面说明材料应当按照国家财务会计制度的规定要求，逐项就供应商提供的货物、工程和服务的主营业务成本、税金及附加、销售费用、管理费用、财务费用等成本构成事项详细陈述。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供应商书面说明应当签字确认或者加盖公章，否则无效。书面说明的签字确认，由其法定代表人/主要负责人/本人或者其授权代表签字确认。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供应商提供书面说明后，</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小组应当将其响应文件作为无效处理。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七</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工作纪律和注意事项。在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活动中，供应商、</w:t>
      </w:r>
      <w:r>
        <w:rPr>
          <w:rFonts w:hint="eastAsia" w:ascii="仿宋" w:hAnsi="仿宋" w:eastAsia="仿宋" w:cs="仿宋"/>
          <w:color w:val="000000"/>
          <w:sz w:val="32"/>
          <w:szCs w:val="32"/>
          <w:lang w:eastAsia="zh-CN"/>
        </w:rPr>
        <w:t>评审</w:t>
      </w:r>
      <w:r>
        <w:rPr>
          <w:rFonts w:hint="eastAsia" w:ascii="仿宋" w:hAnsi="仿宋" w:eastAsia="仿宋" w:cs="仿宋"/>
          <w:color w:val="000000"/>
          <w:sz w:val="32"/>
          <w:szCs w:val="32"/>
        </w:rPr>
        <w:t>成员、组织</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工作的有关工作人员应严格遵守相关纪律规定，注意以下事项：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不得泄露</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活动在应当保密的情况和资料，不得与供应商串通损害国家利益、社会公共利益或者他人合法权益。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2</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供应商不得相互串通报价；不得向</w:t>
      </w:r>
      <w:r>
        <w:rPr>
          <w:rFonts w:hint="eastAsia" w:ascii="仿宋" w:hAnsi="仿宋" w:eastAsia="仿宋" w:cs="仿宋"/>
          <w:color w:val="000000"/>
          <w:sz w:val="32"/>
          <w:szCs w:val="32"/>
          <w:lang w:eastAsia="zh-CN"/>
        </w:rPr>
        <w:t>评审</w:t>
      </w:r>
      <w:r>
        <w:rPr>
          <w:rFonts w:hint="eastAsia" w:ascii="仿宋" w:hAnsi="仿宋" w:eastAsia="仿宋" w:cs="仿宋"/>
          <w:color w:val="000000"/>
          <w:sz w:val="32"/>
          <w:szCs w:val="32"/>
        </w:rPr>
        <w:t>成员行贿谋取成交；不得以他人名义或者其他方式弄虚作假骗取成交；不得以任何方式干扰、影响</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3</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lang w:eastAsia="zh-CN"/>
        </w:rPr>
        <w:t>评审</w:t>
      </w:r>
      <w:r>
        <w:rPr>
          <w:rFonts w:hint="eastAsia" w:ascii="仿宋" w:hAnsi="仿宋" w:eastAsia="仿宋" w:cs="仿宋"/>
          <w:color w:val="000000"/>
          <w:sz w:val="32"/>
          <w:szCs w:val="32"/>
        </w:rPr>
        <w:t>成员不得收受他人财物或者其他好处，不得向他人透露</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活动中的各个细节和标准情况。在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活动中，不得擅离职守，影响</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活动的进行，不得使用本</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文件规定以外的因素和标准进行评审、比较。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宋体" w:hAnsi="宋体"/>
          <w:color w:val="000000"/>
          <w:sz w:val="24"/>
        </w:rPr>
      </w:pPr>
      <w:r>
        <w:rPr>
          <w:rFonts w:hint="eastAsia" w:ascii="仿宋" w:hAnsi="仿宋" w:eastAsia="仿宋" w:cs="仿宋"/>
          <w:color w:val="000000"/>
          <w:sz w:val="32"/>
          <w:szCs w:val="32"/>
        </w:rPr>
        <w:t>4</w:t>
      </w:r>
      <w:r>
        <w:rPr>
          <w:rFonts w:hint="eastAsia" w:ascii="仿宋" w:hAnsi="仿宋" w:eastAsia="仿宋" w:cs="仿宋"/>
          <w:color w:val="000000"/>
          <w:sz w:val="32"/>
          <w:szCs w:val="32"/>
          <w:lang w:val="en-US" w:eastAsia="zh-CN"/>
        </w:rPr>
        <w:t>.</w:t>
      </w:r>
      <w:r>
        <w:rPr>
          <w:rFonts w:hint="eastAsia" w:ascii="仿宋" w:hAnsi="仿宋" w:eastAsia="仿宋" w:cs="仿宋"/>
          <w:color w:val="000000"/>
          <w:sz w:val="32"/>
          <w:szCs w:val="32"/>
        </w:rPr>
        <w:t>组织</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的工作人员不得收受他人的财物或者其他好处，不得向他人透露</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活动中各有关细节及推荐评审情况。在</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活动中不得擅离职守，影响</w:t>
      </w:r>
      <w:r>
        <w:rPr>
          <w:rFonts w:hint="eastAsia" w:ascii="仿宋" w:hAnsi="仿宋" w:eastAsia="仿宋" w:cs="仿宋"/>
          <w:color w:val="000000"/>
          <w:sz w:val="32"/>
          <w:szCs w:val="32"/>
          <w:lang w:eastAsia="zh-CN"/>
        </w:rPr>
        <w:t>采购</w:t>
      </w:r>
      <w:r>
        <w:rPr>
          <w:rFonts w:hint="eastAsia" w:ascii="仿宋" w:hAnsi="仿宋" w:eastAsia="仿宋" w:cs="仿宋"/>
          <w:color w:val="000000"/>
          <w:sz w:val="32"/>
          <w:szCs w:val="32"/>
        </w:rPr>
        <w:t>活动的正常进行。</w:t>
      </w:r>
    </w:p>
    <w:p>
      <w:pPr>
        <w:pStyle w:val="7"/>
        <w:ind w:left="0" w:leftChars="0" w:firstLine="0" w:firstLineChars="0"/>
        <w:rPr>
          <w:rFonts w:hint="eastAsia" w:ascii="黑体" w:hAnsi="黑体" w:eastAsia="黑体" w:cs="黑体"/>
          <w:lang w:eastAsia="zh-CN"/>
        </w:rPr>
      </w:pPr>
    </w:p>
    <w:p>
      <w:pPr>
        <w:rPr>
          <w:rFonts w:hint="eastAsia" w:ascii="黑体" w:hAnsi="黑体" w:eastAsia="黑体" w:cs="黑体"/>
          <w:lang w:val="en-US" w:eastAsia="zh-CN"/>
        </w:rPr>
      </w:pPr>
    </w:p>
    <w:p>
      <w:pPr>
        <w:rPr>
          <w:rFonts w:hint="eastAsia" w:ascii="黑体" w:hAnsi="黑体" w:eastAsia="黑体" w:cs="黑体"/>
          <w:b/>
          <w:sz w:val="48"/>
          <w:szCs w:val="48"/>
          <w:u w:val="single"/>
        </w:rPr>
      </w:pPr>
      <w:r>
        <w:rPr>
          <w:rFonts w:hint="eastAsia" w:ascii="黑体" w:hAnsi="黑体" w:eastAsia="黑体" w:cs="黑体"/>
          <w:b/>
          <w:sz w:val="48"/>
          <w:szCs w:val="48"/>
          <w:u w:val="single"/>
        </w:rPr>
        <w:br w:type="page"/>
      </w:r>
    </w:p>
    <w:p>
      <w:pPr>
        <w:spacing w:line="360" w:lineRule="auto"/>
        <w:jc w:val="left"/>
        <w:rPr>
          <w:rFonts w:hint="eastAsia" w:ascii="黑体" w:hAnsi="黑体" w:eastAsia="黑体" w:cs="黑体"/>
          <w:b/>
          <w:sz w:val="48"/>
          <w:szCs w:val="48"/>
          <w:lang w:val="en-US" w:eastAsia="zh-CN"/>
        </w:rPr>
      </w:pPr>
      <w:r>
        <w:rPr>
          <w:rFonts w:hint="eastAsia" w:ascii="黑体" w:hAnsi="黑体" w:eastAsia="黑体" w:cs="黑体"/>
          <w:b/>
          <w:sz w:val="48"/>
          <w:szCs w:val="48"/>
          <w:lang w:val="en-US" w:eastAsia="zh-CN"/>
        </w:rPr>
        <w:t>（采购封面）</w:t>
      </w:r>
    </w:p>
    <w:p>
      <w:pPr>
        <w:spacing w:line="360" w:lineRule="auto"/>
        <w:jc w:val="center"/>
        <w:rPr>
          <w:rFonts w:hint="eastAsia" w:ascii="黑体" w:hAnsi="黑体" w:eastAsia="黑体" w:cs="黑体"/>
          <w:b/>
          <w:sz w:val="48"/>
          <w:szCs w:val="48"/>
          <w:lang w:eastAsia="zh-CN"/>
        </w:rPr>
      </w:pPr>
      <w:r>
        <w:rPr>
          <w:rFonts w:hint="eastAsia" w:ascii="黑体" w:hAnsi="黑体" w:eastAsia="黑体" w:cs="黑体"/>
          <w:b/>
          <w:sz w:val="48"/>
          <w:szCs w:val="48"/>
          <w:lang w:val="en-US" w:eastAsia="zh-CN"/>
        </w:rPr>
        <w:t>乐山市五通桥区人民医院采购项目</w:t>
      </w:r>
    </w:p>
    <w:p>
      <w:pPr>
        <w:spacing w:line="400" w:lineRule="exact"/>
        <w:ind w:firstLine="4897" w:firstLineChars="583"/>
        <w:rPr>
          <w:rFonts w:hint="eastAsia" w:ascii="黑体" w:hAnsi="黑体" w:eastAsia="黑体" w:cs="黑体"/>
          <w:sz w:val="84"/>
          <w:szCs w:val="84"/>
          <w:lang w:eastAsia="zh-CN"/>
        </w:rPr>
      </w:pPr>
    </w:p>
    <w:p>
      <w:pPr>
        <w:pStyle w:val="5"/>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询价、采购、谈判、遴选文件</w:t>
      </w:r>
    </w:p>
    <w:p>
      <w:pPr>
        <w:rPr>
          <w:rFonts w:hint="eastAsia" w:ascii="黑体" w:hAnsi="黑体" w:eastAsia="黑体" w:cs="黑体"/>
          <w:sz w:val="84"/>
          <w:szCs w:val="84"/>
          <w:lang w:val="en-US" w:eastAsia="zh-CN"/>
        </w:rPr>
      </w:pPr>
    </w:p>
    <w:p>
      <w:pPr>
        <w:pStyle w:val="5"/>
        <w:rPr>
          <w:rFonts w:hint="eastAsia" w:ascii="黑体" w:hAnsi="黑体" w:eastAsia="黑体" w:cs="黑体"/>
          <w:lang w:val="en-US" w:eastAsia="zh-CN"/>
        </w:rPr>
      </w:pPr>
    </w:p>
    <w:p>
      <w:pPr>
        <w:spacing w:line="400" w:lineRule="exact"/>
        <w:ind w:firstLine="4897" w:firstLineChars="583"/>
        <w:rPr>
          <w:rFonts w:hint="eastAsia" w:ascii="黑体" w:hAnsi="黑体" w:eastAsia="黑体" w:cs="黑体"/>
          <w:sz w:val="84"/>
          <w:szCs w:val="84"/>
        </w:rPr>
      </w:pPr>
    </w:p>
    <w:p>
      <w:pPr>
        <w:spacing w:line="400" w:lineRule="exact"/>
        <w:ind w:firstLine="4897" w:firstLineChars="583"/>
        <w:rPr>
          <w:rFonts w:hint="eastAsia" w:ascii="黑体" w:hAnsi="黑体" w:eastAsia="黑体" w:cs="黑体"/>
          <w:sz w:val="84"/>
          <w:szCs w:val="84"/>
        </w:rPr>
      </w:pPr>
    </w:p>
    <w:p>
      <w:pPr>
        <w:spacing w:line="400" w:lineRule="exact"/>
        <w:rPr>
          <w:rFonts w:hint="eastAsia" w:ascii="黑体" w:hAnsi="黑体" w:eastAsia="黑体" w:cs="黑体"/>
          <w:b/>
          <w:bCs/>
          <w:sz w:val="30"/>
          <w:szCs w:val="30"/>
        </w:rPr>
      </w:pPr>
    </w:p>
    <w:p>
      <w:pPr>
        <w:widowControl w:val="0"/>
        <w:adjustRightInd/>
        <w:spacing w:line="360" w:lineRule="auto"/>
        <w:rPr>
          <w:rFonts w:hint="eastAsia" w:ascii="黑体" w:hAnsi="黑体" w:eastAsia="黑体" w:cs="黑体"/>
          <w:b/>
          <w:sz w:val="32"/>
          <w:szCs w:val="32"/>
          <w:u w:val="single"/>
        </w:rPr>
      </w:pPr>
      <w:r>
        <w:rPr>
          <w:rFonts w:hint="eastAsia" w:ascii="黑体" w:hAnsi="黑体" w:eastAsia="黑体" w:cs="黑体"/>
          <w:b/>
          <w:bCs/>
          <w:sz w:val="32"/>
          <w:szCs w:val="32"/>
        </w:rPr>
        <w:t>项目名称：</w:t>
      </w:r>
      <w:r>
        <w:rPr>
          <w:rFonts w:hint="eastAsia" w:ascii="黑体" w:hAnsi="黑体" w:eastAsia="黑体" w:cs="黑体"/>
          <w:b/>
          <w:sz w:val="32"/>
          <w:szCs w:val="32"/>
          <w:u w:val="single"/>
        </w:rPr>
        <w:t xml:space="preserve">                               </w:t>
      </w:r>
    </w:p>
    <w:p>
      <w:pPr>
        <w:widowControl w:val="0"/>
        <w:adjustRightInd/>
        <w:spacing w:line="360" w:lineRule="auto"/>
        <w:rPr>
          <w:rFonts w:hint="eastAsia" w:ascii="黑体" w:hAnsi="黑体" w:eastAsia="黑体" w:cs="黑体"/>
          <w:b/>
          <w:bCs/>
          <w:sz w:val="32"/>
          <w:szCs w:val="32"/>
          <w:u w:val="single"/>
        </w:rPr>
      </w:pPr>
      <w:r>
        <w:rPr>
          <w:rFonts w:hint="eastAsia" w:ascii="黑体" w:hAnsi="黑体" w:eastAsia="黑体" w:cs="黑体"/>
          <w:b/>
          <w:bCs/>
          <w:sz w:val="32"/>
          <w:szCs w:val="32"/>
          <w:lang w:eastAsia="zh-CN"/>
        </w:rPr>
        <w:t>供应</w:t>
      </w:r>
      <w:r>
        <w:rPr>
          <w:rFonts w:hint="eastAsia" w:ascii="黑体" w:hAnsi="黑体" w:eastAsia="黑体" w:cs="黑体"/>
          <w:b/>
          <w:bCs/>
          <w:sz w:val="32"/>
          <w:szCs w:val="32"/>
        </w:rPr>
        <w:t>商名称</w:t>
      </w:r>
      <w:r>
        <w:rPr>
          <w:rFonts w:hint="eastAsia" w:ascii="黑体" w:hAnsi="黑体" w:eastAsia="黑体" w:cs="黑体"/>
          <w:b/>
          <w:sz w:val="32"/>
          <w:szCs w:val="32"/>
        </w:rPr>
        <w:t xml:space="preserve">： </w:t>
      </w:r>
      <w:r>
        <w:rPr>
          <w:rFonts w:hint="eastAsia" w:ascii="黑体" w:hAnsi="黑体" w:eastAsia="黑体" w:cs="黑体"/>
          <w:sz w:val="32"/>
          <w:szCs w:val="32"/>
          <w:u w:val="single"/>
        </w:rPr>
        <w:t xml:space="preserve">                       </w:t>
      </w:r>
      <w:r>
        <w:rPr>
          <w:rFonts w:hint="eastAsia" w:ascii="黑体" w:hAnsi="黑体" w:eastAsia="黑体" w:cs="黑体"/>
          <w:b/>
          <w:bCs/>
          <w:sz w:val="32"/>
          <w:szCs w:val="32"/>
        </w:rPr>
        <w:t>（盖章）</w:t>
      </w:r>
    </w:p>
    <w:p>
      <w:pPr>
        <w:widowControl w:val="0"/>
        <w:adjustRightInd/>
        <w:spacing w:line="360" w:lineRule="auto"/>
        <w:rPr>
          <w:rFonts w:hint="eastAsia" w:ascii="黑体" w:hAnsi="黑体" w:eastAsia="黑体" w:cs="黑体"/>
          <w:b/>
          <w:bCs/>
          <w:sz w:val="32"/>
          <w:szCs w:val="32"/>
        </w:rPr>
      </w:pPr>
      <w:r>
        <w:rPr>
          <w:rFonts w:hint="eastAsia" w:ascii="黑体" w:hAnsi="黑体" w:eastAsia="黑体" w:cs="黑体"/>
          <w:b/>
          <w:bCs/>
          <w:sz w:val="32"/>
          <w:szCs w:val="32"/>
        </w:rPr>
        <w:t>法定代表人或授权代表：</w:t>
      </w:r>
      <w:r>
        <w:rPr>
          <w:rFonts w:hint="eastAsia" w:ascii="黑体" w:hAnsi="黑体" w:eastAsia="黑体" w:cs="黑体"/>
          <w:b/>
          <w:bCs/>
          <w:sz w:val="32"/>
          <w:szCs w:val="32"/>
          <w:u w:val="single"/>
        </w:rPr>
        <w:t xml:space="preserve">             </w:t>
      </w:r>
      <w:r>
        <w:rPr>
          <w:rFonts w:hint="eastAsia" w:ascii="黑体" w:hAnsi="黑体" w:eastAsia="黑体" w:cs="黑体"/>
          <w:b/>
          <w:bCs/>
          <w:sz w:val="32"/>
          <w:szCs w:val="32"/>
        </w:rPr>
        <w:t>（签字或加盖个人名章）</w:t>
      </w:r>
    </w:p>
    <w:p>
      <w:pPr>
        <w:widowControl w:val="0"/>
        <w:adjustRightInd/>
        <w:spacing w:line="360" w:lineRule="auto"/>
        <w:ind w:firstLine="315" w:firstLineChars="98"/>
        <w:rPr>
          <w:rFonts w:hint="eastAsia" w:ascii="黑体" w:hAnsi="黑体" w:eastAsia="黑体" w:cs="黑体"/>
          <w:b/>
          <w:bCs/>
          <w:sz w:val="32"/>
          <w:szCs w:val="32"/>
        </w:rPr>
      </w:pPr>
    </w:p>
    <w:p>
      <w:pPr>
        <w:widowControl w:val="0"/>
        <w:adjustRightInd/>
        <w:spacing w:line="360" w:lineRule="auto"/>
        <w:ind w:firstLine="3040" w:firstLineChars="950"/>
        <w:rPr>
          <w:rFonts w:hint="eastAsia" w:ascii="黑体" w:hAnsi="黑体" w:eastAsia="黑体" w:cs="黑体"/>
          <w:sz w:val="32"/>
          <w:szCs w:val="32"/>
        </w:rPr>
      </w:pPr>
      <w:r>
        <w:rPr>
          <w:rFonts w:hint="eastAsia" w:ascii="黑体" w:hAnsi="黑体" w:eastAsia="黑体" w:cs="黑体"/>
          <w:sz w:val="32"/>
          <w:szCs w:val="32"/>
          <w:u w:val="single"/>
        </w:rPr>
        <w:t xml:space="preserve">    </w:t>
      </w:r>
      <w:r>
        <w:rPr>
          <w:rFonts w:hint="eastAsia" w:ascii="黑体" w:hAnsi="黑体" w:eastAsia="黑体" w:cs="黑体"/>
          <w:sz w:val="32"/>
          <w:szCs w:val="32"/>
        </w:rPr>
        <w:t>年</w:t>
      </w:r>
      <w:r>
        <w:rPr>
          <w:rFonts w:hint="eastAsia" w:ascii="黑体" w:hAnsi="黑体" w:eastAsia="黑体" w:cs="黑体"/>
          <w:sz w:val="32"/>
          <w:szCs w:val="32"/>
          <w:u w:val="single"/>
        </w:rPr>
        <w:t xml:space="preserve">   </w:t>
      </w:r>
      <w:r>
        <w:rPr>
          <w:rFonts w:hint="eastAsia" w:ascii="黑体" w:hAnsi="黑体" w:eastAsia="黑体" w:cs="黑体"/>
          <w:sz w:val="32"/>
          <w:szCs w:val="32"/>
        </w:rPr>
        <w:t>月</w:t>
      </w:r>
      <w:r>
        <w:rPr>
          <w:rFonts w:hint="eastAsia" w:ascii="黑体" w:hAnsi="黑体" w:eastAsia="黑体" w:cs="黑体"/>
          <w:sz w:val="32"/>
          <w:szCs w:val="32"/>
          <w:u w:val="single"/>
        </w:rPr>
        <w:t xml:space="preserve">   </w:t>
      </w:r>
      <w:r>
        <w:rPr>
          <w:rFonts w:hint="eastAsia" w:ascii="黑体" w:hAnsi="黑体" w:eastAsia="黑体" w:cs="黑体"/>
          <w:sz w:val="32"/>
          <w:szCs w:val="32"/>
        </w:rPr>
        <w:t>日</w:t>
      </w:r>
    </w:p>
    <w:p>
      <w:pPr>
        <w:rPr>
          <w:rFonts w:hint="eastAsia" w:ascii="黑体" w:hAnsi="黑体" w:eastAsia="黑体" w:cs="黑体"/>
          <w:b/>
          <w:bCs/>
          <w:sz w:val="32"/>
          <w:szCs w:val="32"/>
        </w:rPr>
      </w:pPr>
      <w:bookmarkStart w:id="0" w:name="_Toc25737"/>
      <w:bookmarkStart w:id="1" w:name="_Toc5773"/>
      <w:bookmarkStart w:id="2" w:name="_Toc9490"/>
      <w:bookmarkStart w:id="3" w:name="_Toc18458"/>
      <w:r>
        <w:rPr>
          <w:rFonts w:hint="eastAsia" w:ascii="黑体" w:hAnsi="黑体" w:eastAsia="黑体" w:cs="黑体"/>
          <w:b/>
          <w:bCs/>
          <w:sz w:val="32"/>
          <w:szCs w:val="32"/>
        </w:rPr>
        <w:br w:type="page"/>
      </w:r>
    </w:p>
    <w:bookmarkEnd w:id="0"/>
    <w:bookmarkEnd w:id="1"/>
    <w:bookmarkEnd w:id="2"/>
    <w:bookmarkEnd w:id="3"/>
    <w:p>
      <w:pPr>
        <w:numPr>
          <w:ilvl w:val="0"/>
          <w:numId w:val="1"/>
        </w:numPr>
        <w:jc w:val="center"/>
        <w:rPr>
          <w:rFonts w:hint="eastAsia" w:ascii="黑体" w:hAnsi="黑体" w:eastAsia="黑体" w:cs="黑体"/>
          <w:b/>
          <w:sz w:val="36"/>
          <w:szCs w:val="36"/>
          <w:lang w:val="en-US" w:eastAsia="zh-CN"/>
        </w:rPr>
      </w:pPr>
      <w:bookmarkStart w:id="4" w:name="_Toc4003"/>
      <w:bookmarkStart w:id="5" w:name="_Toc12449"/>
      <w:bookmarkStart w:id="6" w:name="_Toc17549"/>
      <w:bookmarkStart w:id="7" w:name="_Toc439699516"/>
      <w:r>
        <w:rPr>
          <w:rFonts w:hint="eastAsia" w:ascii="黑体" w:hAnsi="黑体" w:eastAsia="黑体" w:cs="黑体"/>
          <w:b/>
          <w:sz w:val="36"/>
          <w:szCs w:val="36"/>
          <w:lang w:val="en-US" w:eastAsia="zh-CN"/>
        </w:rPr>
        <w:t>采购资质要求</w:t>
      </w:r>
    </w:p>
    <w:p>
      <w:pPr>
        <w:pStyle w:val="5"/>
        <w:rPr>
          <w:rFonts w:hint="eastAsia" w:ascii="黑体" w:hAnsi="黑体" w:eastAsia="黑体" w:cs="黑体"/>
          <w:b/>
          <w:sz w:val="36"/>
          <w:szCs w:val="36"/>
          <w:lang w:val="en-US" w:eastAsia="zh-CN"/>
        </w:rPr>
      </w:pPr>
    </w:p>
    <w:p>
      <w:pPr>
        <w:numPr>
          <w:ilvl w:val="0"/>
          <w:numId w:val="0"/>
        </w:numPr>
        <w:ind w:firstLine="640" w:firstLineChars="200"/>
        <w:jc w:val="both"/>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rPr>
        <w:t>资格性文件：供应商应当提供的资格要求的相关证明材料</w:t>
      </w:r>
      <w:r>
        <w:rPr>
          <w:rFonts w:hint="eastAsia" w:ascii="仿宋" w:hAnsi="仿宋" w:eastAsia="仿宋" w:cs="仿宋"/>
          <w:color w:val="auto"/>
          <w:sz w:val="32"/>
          <w:szCs w:val="32"/>
          <w:highlight w:val="none"/>
          <w:lang w:eastAsia="zh-CN"/>
        </w:rPr>
        <w:t>（缺少一项投标无效处理）</w:t>
      </w:r>
    </w:p>
    <w:tbl>
      <w:tblPr>
        <w:tblStyle w:val="18"/>
        <w:tblpPr w:leftFromText="180" w:rightFromText="180" w:vertAnchor="text" w:horzAnchor="page" w:tblpX="1286" w:tblpY="371"/>
        <w:tblOverlap w:val="never"/>
        <w:tblW w:w="49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6421"/>
        <w:gridCol w:w="103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序号</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审查项目</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合格条件</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1</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val="en-US" w:eastAsia="zh-CN"/>
              </w:rPr>
              <w:t>供应商和厂家</w:t>
            </w:r>
            <w:r>
              <w:rPr>
                <w:rFonts w:hint="eastAsia" w:ascii="仿宋" w:hAnsi="仿宋" w:eastAsia="仿宋" w:cs="仿宋"/>
                <w:color w:val="000000"/>
                <w:spacing w:val="2"/>
                <w:sz w:val="32"/>
                <w:szCs w:val="32"/>
                <w:lang w:eastAsia="zh-CN"/>
              </w:rPr>
              <w:t xml:space="preserve">三证（营业执照、税务登记证、组织机构代码证）副本；三证合一的只须提供营业执照副本；事业单位、社会团体提供法人登记证书复印件 </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2</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提供承诺，购销廉洁、诚信承诺书</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val="en-US"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3</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2023年以来任意三个月的缴纳税收和社保资金证明材料（银行缴款证明或税收机关、社保机关盖章的证明文件）</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4</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法定代表人授权委托书（法定代表人参与的须提供法定代表人证明书），法定代表人和授权代表的身份证</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5</w:t>
            </w:r>
          </w:p>
        </w:tc>
        <w:tc>
          <w:tcPr>
            <w:tcW w:w="3176"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val="en-US" w:eastAsia="zh-CN"/>
              </w:rPr>
              <w:t>供应商通</w:t>
            </w:r>
            <w:r>
              <w:rPr>
                <w:rFonts w:hint="eastAsia" w:ascii="仿宋" w:hAnsi="仿宋" w:eastAsia="仿宋" w:cs="仿宋"/>
                <w:color w:val="000000"/>
                <w:spacing w:val="2"/>
                <w:sz w:val="32"/>
                <w:szCs w:val="32"/>
                <w:lang w:eastAsia="zh-CN"/>
              </w:rPr>
              <w:t>过“信用中国”(</w:t>
            </w:r>
            <w:r>
              <w:rPr>
                <w:rFonts w:hint="eastAsia" w:ascii="仿宋" w:hAnsi="仿宋" w:eastAsia="仿宋" w:cs="仿宋"/>
                <w:color w:val="000000"/>
                <w:spacing w:val="2"/>
                <w:sz w:val="32"/>
                <w:szCs w:val="32"/>
                <w:lang w:eastAsia="zh-CN"/>
              </w:rPr>
              <w:fldChar w:fldCharType="begin"/>
            </w:r>
            <w:r>
              <w:rPr>
                <w:rFonts w:hint="eastAsia" w:ascii="仿宋" w:hAnsi="仿宋" w:eastAsia="仿宋" w:cs="仿宋"/>
                <w:color w:val="000000"/>
                <w:spacing w:val="2"/>
                <w:sz w:val="32"/>
                <w:szCs w:val="32"/>
                <w:lang w:eastAsia="zh-CN"/>
              </w:rPr>
              <w:instrText xml:space="preserve"> HYPERLINK "http://www.creditchina.gov.cn)" </w:instrText>
            </w:r>
            <w:r>
              <w:rPr>
                <w:rFonts w:hint="eastAsia" w:ascii="仿宋" w:hAnsi="仿宋" w:eastAsia="仿宋" w:cs="仿宋"/>
                <w:color w:val="000000"/>
                <w:spacing w:val="2"/>
                <w:sz w:val="32"/>
                <w:szCs w:val="32"/>
                <w:lang w:eastAsia="zh-CN"/>
              </w:rPr>
              <w:fldChar w:fldCharType="separate"/>
            </w:r>
            <w:r>
              <w:rPr>
                <w:rFonts w:hint="eastAsia" w:ascii="仿宋" w:hAnsi="仿宋" w:eastAsia="仿宋" w:cs="仿宋"/>
                <w:color w:val="000000"/>
                <w:spacing w:val="2"/>
                <w:sz w:val="32"/>
                <w:szCs w:val="32"/>
                <w:lang w:eastAsia="zh-CN"/>
              </w:rPr>
              <w:t>www.creditchina.gov.cn)</w:t>
            </w:r>
            <w:r>
              <w:rPr>
                <w:rFonts w:hint="eastAsia" w:ascii="仿宋" w:hAnsi="仿宋" w:eastAsia="仿宋" w:cs="仿宋"/>
                <w:color w:val="000000"/>
                <w:spacing w:val="2"/>
                <w:sz w:val="32"/>
                <w:szCs w:val="32"/>
                <w:lang w:eastAsia="zh-CN"/>
              </w:rPr>
              <w:fldChar w:fldCharType="end"/>
            </w:r>
            <w:r>
              <w:rPr>
                <w:rFonts w:hint="eastAsia" w:ascii="仿宋" w:hAnsi="仿宋" w:eastAsia="仿宋" w:cs="仿宋"/>
                <w:color w:val="000000"/>
                <w:spacing w:val="2"/>
                <w:sz w:val="32"/>
                <w:szCs w:val="32"/>
                <w:lang w:eastAsia="zh-CN"/>
              </w:rPr>
              <w:t>、“中国政府采购网”(www.ccgp.gov.cn)网站查询公告发布之日起前三年的信用记录，无不良记录</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eastAsia="zh-CN"/>
              </w:rPr>
              <w:t>网页截图盖公章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471"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6</w:t>
            </w:r>
          </w:p>
        </w:tc>
        <w:tc>
          <w:tcPr>
            <w:tcW w:w="3176" w:type="pct"/>
            <w:noWrap w:val="0"/>
            <w:vAlign w:val="center"/>
          </w:tcPr>
          <w:p>
            <w:pPr>
              <w:snapToGrid w:val="0"/>
              <w:spacing w:line="240" w:lineRule="auto"/>
              <w:contextualSpacing/>
              <w:rPr>
                <w:rFonts w:hint="default" w:ascii="仿宋" w:hAnsi="仿宋" w:eastAsia="仿宋" w:cs="仿宋"/>
                <w:color w:val="000000"/>
                <w:spacing w:val="2"/>
                <w:sz w:val="32"/>
                <w:szCs w:val="32"/>
                <w:lang w:val="en-US" w:eastAsia="zh-CN"/>
              </w:rPr>
            </w:pPr>
            <w:r>
              <w:rPr>
                <w:rFonts w:hint="eastAsia" w:ascii="仿宋" w:hAnsi="仿宋" w:eastAsia="仿宋" w:cs="仿宋"/>
                <w:color w:val="000000"/>
                <w:spacing w:val="2"/>
                <w:sz w:val="32"/>
                <w:szCs w:val="32"/>
                <w:lang w:val="en-US" w:eastAsia="zh-CN"/>
              </w:rPr>
              <w:t>供应商和厂家的</w:t>
            </w:r>
            <w:r>
              <w:rPr>
                <w:rFonts w:hint="eastAsia" w:ascii="宋体" w:hAnsi="宋体" w:cs="宋体"/>
                <w:color w:val="auto"/>
                <w:sz w:val="28"/>
                <w:szCs w:val="28"/>
              </w:rPr>
              <w:t>《</w:t>
            </w:r>
            <w:r>
              <w:rPr>
                <w:rFonts w:hint="eastAsia" w:ascii="宋体" w:hAnsi="宋体" w:cs="宋体"/>
                <w:color w:val="auto"/>
                <w:sz w:val="28"/>
                <w:szCs w:val="28"/>
                <w:lang w:val="en-US" w:eastAsia="zh-CN"/>
              </w:rPr>
              <w:t>医疗器械</w:t>
            </w:r>
            <w:r>
              <w:rPr>
                <w:rFonts w:hint="eastAsia" w:ascii="宋体" w:hAnsi="宋体" w:cs="宋体"/>
                <w:color w:val="auto"/>
                <w:sz w:val="28"/>
                <w:szCs w:val="28"/>
              </w:rPr>
              <w:t>生产/经营许可证》</w:t>
            </w:r>
            <w:r>
              <w:rPr>
                <w:rFonts w:hint="eastAsia" w:ascii="仿宋" w:hAnsi="仿宋" w:eastAsia="仿宋" w:cs="仿宋"/>
                <w:color w:val="000000"/>
                <w:spacing w:val="2"/>
                <w:sz w:val="32"/>
                <w:szCs w:val="32"/>
                <w:lang w:eastAsia="zh-CN"/>
              </w:rPr>
              <w:t>（非医疗设备、器械不用）</w:t>
            </w:r>
          </w:p>
        </w:tc>
        <w:tc>
          <w:tcPr>
            <w:tcW w:w="512"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lang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kern w:val="2"/>
                <w:sz w:val="32"/>
                <w:szCs w:val="32"/>
                <w:lang w:val="en-US" w:eastAsia="zh-CN" w:bidi="ar-SA"/>
              </w:rPr>
            </w:pPr>
            <w:r>
              <w:rPr>
                <w:rFonts w:hint="eastAsia" w:ascii="仿宋" w:hAnsi="仿宋" w:eastAsia="仿宋" w:cs="仿宋"/>
                <w:color w:val="000000"/>
                <w:spacing w:val="2"/>
                <w:sz w:val="32"/>
                <w:szCs w:val="32"/>
                <w:lang w:val="en-US" w:eastAsia="zh-CN"/>
              </w:rPr>
              <w:t>7</w:t>
            </w:r>
          </w:p>
        </w:tc>
        <w:tc>
          <w:tcPr>
            <w:tcW w:w="3176" w:type="pct"/>
            <w:noWrap w:val="0"/>
            <w:vAlign w:val="center"/>
          </w:tcPr>
          <w:p>
            <w:pPr>
              <w:snapToGrid w:val="0"/>
              <w:spacing w:line="240" w:lineRule="auto"/>
              <w:contextualSpacing/>
              <w:rPr>
                <w:rFonts w:hint="eastAsia" w:ascii="仿宋" w:hAnsi="仿宋" w:eastAsia="仿宋" w:cs="仿宋"/>
                <w:color w:val="000000"/>
                <w:spacing w:val="2"/>
                <w:kern w:val="2"/>
                <w:sz w:val="32"/>
                <w:szCs w:val="32"/>
                <w:lang w:val="en-US" w:eastAsia="zh-CN" w:bidi="ar-SA"/>
              </w:rPr>
            </w:pPr>
            <w:r>
              <w:rPr>
                <w:rFonts w:hint="eastAsia" w:ascii="仿宋" w:hAnsi="仿宋" w:eastAsia="仿宋" w:cs="仿宋"/>
                <w:color w:val="000000"/>
                <w:spacing w:val="2"/>
                <w:sz w:val="32"/>
                <w:szCs w:val="32"/>
                <w:lang w:eastAsia="zh-CN"/>
              </w:rPr>
              <w:t>医疗器械备案证（非医疗设备、器械不用）</w:t>
            </w:r>
          </w:p>
        </w:tc>
        <w:tc>
          <w:tcPr>
            <w:tcW w:w="512" w:type="pct"/>
            <w:noWrap w:val="0"/>
            <w:vAlign w:val="center"/>
          </w:tcPr>
          <w:p>
            <w:pPr>
              <w:snapToGrid w:val="0"/>
              <w:spacing w:line="240" w:lineRule="auto"/>
              <w:contextualSpacing/>
              <w:rPr>
                <w:rFonts w:hint="eastAsia" w:ascii="仿宋" w:hAnsi="仿宋" w:eastAsia="仿宋" w:cs="仿宋"/>
                <w:color w:val="000000"/>
                <w:spacing w:val="2"/>
                <w:kern w:val="2"/>
                <w:sz w:val="32"/>
                <w:szCs w:val="32"/>
                <w:lang w:val="en-US" w:eastAsia="zh-CN" w:bidi="ar-SA"/>
              </w:rPr>
            </w:pPr>
            <w:r>
              <w:rPr>
                <w:rFonts w:hint="eastAsia" w:ascii="仿宋" w:hAnsi="仿宋" w:eastAsia="仿宋" w:cs="仿宋"/>
                <w:color w:val="000000"/>
                <w:spacing w:val="2"/>
                <w:sz w:val="32"/>
                <w:szCs w:val="32"/>
                <w:lang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kern w:val="2"/>
                <w:sz w:val="32"/>
                <w:szCs w:val="32"/>
                <w:lang w:val="en-US" w:eastAsia="zh-CN" w:bidi="ar-SA"/>
              </w:rPr>
            </w:pPr>
            <w:r>
              <w:rPr>
                <w:rFonts w:hint="eastAsia" w:ascii="仿宋" w:hAnsi="仿宋" w:eastAsia="仿宋" w:cs="仿宋"/>
                <w:color w:val="000000"/>
                <w:spacing w:val="2"/>
                <w:sz w:val="32"/>
                <w:szCs w:val="32"/>
                <w:lang w:eastAsia="zh-CN"/>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471" w:type="pct"/>
            <w:noWrap w:val="0"/>
            <w:vAlign w:val="center"/>
          </w:tcPr>
          <w:p>
            <w:pPr>
              <w:snapToGrid w:val="0"/>
              <w:spacing w:line="240" w:lineRule="auto"/>
              <w:contextualSpacing/>
              <w:rPr>
                <w:rFonts w:hint="eastAsia" w:ascii="仿宋" w:hAnsi="仿宋" w:eastAsia="仿宋" w:cs="仿宋"/>
                <w:color w:val="000000"/>
                <w:spacing w:val="2"/>
                <w:kern w:val="2"/>
                <w:sz w:val="32"/>
                <w:szCs w:val="32"/>
                <w:lang w:val="en-US" w:eastAsia="zh-CN" w:bidi="ar-SA"/>
              </w:rPr>
            </w:pPr>
            <w:r>
              <w:rPr>
                <w:rFonts w:hint="eastAsia" w:ascii="仿宋" w:hAnsi="仿宋" w:eastAsia="仿宋" w:cs="仿宋"/>
                <w:color w:val="000000"/>
                <w:spacing w:val="2"/>
                <w:sz w:val="32"/>
                <w:szCs w:val="32"/>
                <w:lang w:val="en-US" w:eastAsia="zh-CN"/>
              </w:rPr>
              <w:t>8</w:t>
            </w:r>
          </w:p>
        </w:tc>
        <w:tc>
          <w:tcPr>
            <w:tcW w:w="3176" w:type="pct"/>
            <w:noWrap w:val="0"/>
            <w:vAlign w:val="center"/>
          </w:tcPr>
          <w:p>
            <w:pPr>
              <w:snapToGrid w:val="0"/>
              <w:spacing w:line="240" w:lineRule="auto"/>
              <w:contextualSpacing/>
              <w:rPr>
                <w:rFonts w:hint="eastAsia" w:ascii="仿宋" w:hAnsi="仿宋" w:eastAsia="仿宋" w:cs="仿宋"/>
                <w:color w:val="000000"/>
                <w:spacing w:val="2"/>
                <w:kern w:val="2"/>
                <w:sz w:val="32"/>
                <w:szCs w:val="32"/>
                <w:lang w:val="en-US" w:eastAsia="zh-CN" w:bidi="ar-SA"/>
              </w:rPr>
            </w:pPr>
            <w:r>
              <w:rPr>
                <w:rFonts w:hint="eastAsia" w:ascii="仿宋" w:hAnsi="仿宋" w:eastAsia="仿宋" w:cs="仿宋"/>
                <w:color w:val="000000"/>
                <w:spacing w:val="2"/>
                <w:sz w:val="32"/>
                <w:szCs w:val="32"/>
                <w:lang w:val="en-US" w:eastAsia="zh-CN"/>
              </w:rPr>
              <w:t>2022年以来2个同类业绩</w:t>
            </w:r>
          </w:p>
        </w:tc>
        <w:tc>
          <w:tcPr>
            <w:tcW w:w="512" w:type="pct"/>
            <w:noWrap w:val="0"/>
            <w:vAlign w:val="center"/>
          </w:tcPr>
          <w:p>
            <w:pPr>
              <w:snapToGrid w:val="0"/>
              <w:spacing w:line="240" w:lineRule="auto"/>
              <w:contextualSpacing/>
              <w:rPr>
                <w:rFonts w:hint="eastAsia" w:ascii="仿宋" w:hAnsi="仿宋" w:eastAsia="仿宋" w:cs="仿宋"/>
                <w:color w:val="000000"/>
                <w:spacing w:val="2"/>
                <w:kern w:val="2"/>
                <w:sz w:val="32"/>
                <w:szCs w:val="32"/>
                <w:lang w:val="en-US" w:eastAsia="zh-CN" w:bidi="ar-SA"/>
              </w:rPr>
            </w:pPr>
            <w:r>
              <w:rPr>
                <w:rFonts w:hint="eastAsia" w:ascii="仿宋" w:hAnsi="仿宋" w:eastAsia="仿宋" w:cs="仿宋"/>
                <w:color w:val="000000"/>
                <w:spacing w:val="2"/>
                <w:sz w:val="32"/>
                <w:szCs w:val="32"/>
                <w:lang w:val="en-US" w:eastAsia="zh-CN"/>
              </w:rPr>
              <w:t>有效</w:t>
            </w:r>
          </w:p>
        </w:tc>
        <w:tc>
          <w:tcPr>
            <w:tcW w:w="840" w:type="pct"/>
            <w:noWrap w:val="0"/>
            <w:vAlign w:val="center"/>
          </w:tcPr>
          <w:p>
            <w:pPr>
              <w:snapToGrid w:val="0"/>
              <w:spacing w:line="240" w:lineRule="auto"/>
              <w:contextualSpacing/>
              <w:rPr>
                <w:rFonts w:hint="eastAsia" w:ascii="仿宋" w:hAnsi="仿宋" w:eastAsia="仿宋" w:cs="仿宋"/>
                <w:color w:val="000000"/>
                <w:spacing w:val="2"/>
                <w:kern w:val="2"/>
                <w:sz w:val="32"/>
                <w:szCs w:val="32"/>
                <w:lang w:val="en-US" w:eastAsia="zh-CN" w:bidi="ar-SA"/>
              </w:rPr>
            </w:pPr>
            <w:r>
              <w:rPr>
                <w:rFonts w:hint="eastAsia" w:ascii="仿宋" w:hAnsi="仿宋" w:eastAsia="仿宋" w:cs="仿宋"/>
                <w:color w:val="000000"/>
                <w:spacing w:val="2"/>
                <w:sz w:val="32"/>
                <w:szCs w:val="32"/>
                <w:lang w:val="en-US" w:eastAsia="zh-CN"/>
              </w:rPr>
              <w:t>复印件</w:t>
            </w:r>
          </w:p>
        </w:tc>
      </w:tr>
    </w:tbl>
    <w:p>
      <w:pPr>
        <w:pStyle w:val="5"/>
        <w:rPr>
          <w:rFonts w:hint="eastAsia" w:ascii="仿宋" w:hAnsi="仿宋" w:eastAsia="仿宋" w:cs="仿宋"/>
          <w:color w:val="auto"/>
          <w:sz w:val="30"/>
          <w:szCs w:val="30"/>
          <w:highlight w:val="none"/>
          <w:lang w:eastAsia="zh-CN"/>
        </w:rPr>
      </w:pPr>
    </w:p>
    <w:p>
      <w:pPr>
        <w:pStyle w:val="6"/>
        <w:rPr>
          <w:rFonts w:hint="eastAsia" w:ascii="仿宋" w:hAnsi="仿宋" w:eastAsia="仿宋" w:cs="仿宋"/>
          <w:color w:val="auto"/>
          <w:sz w:val="30"/>
          <w:szCs w:val="30"/>
          <w:highlight w:val="none"/>
          <w:lang w:eastAsia="zh-CN"/>
        </w:rPr>
      </w:pPr>
    </w:p>
    <w:p>
      <w:pPr>
        <w:rPr>
          <w:rFonts w:hint="eastAsia" w:ascii="仿宋" w:hAnsi="仿宋" w:eastAsia="仿宋" w:cs="仿宋"/>
          <w:color w:val="auto"/>
          <w:sz w:val="30"/>
          <w:szCs w:val="30"/>
          <w:highlight w:val="none"/>
          <w:lang w:eastAsia="zh-CN"/>
        </w:rPr>
      </w:pPr>
    </w:p>
    <w:p>
      <w:pPr>
        <w:pStyle w:val="5"/>
        <w:rPr>
          <w:rFonts w:hint="eastAsia"/>
          <w:lang w:eastAsia="zh-CN"/>
        </w:rPr>
      </w:pPr>
    </w:p>
    <w:p>
      <w:pPr>
        <w:pStyle w:val="5"/>
        <w:rPr>
          <w:rFonts w:hint="eastAsia"/>
          <w:lang w:eastAsia="zh-CN"/>
        </w:rPr>
      </w:pPr>
    </w:p>
    <w:p>
      <w:pPr>
        <w:numPr>
          <w:ilvl w:val="0"/>
          <w:numId w:val="0"/>
        </w:numPr>
        <w:jc w:val="both"/>
        <w:rPr>
          <w:rFonts w:hint="eastAsia" w:ascii="黑体" w:hAnsi="黑体" w:eastAsia="黑体" w:cs="黑体"/>
          <w:color w:val="000000"/>
          <w:spacing w:val="2"/>
          <w:sz w:val="40"/>
          <w:szCs w:val="40"/>
        </w:rPr>
      </w:pPr>
      <w:r>
        <w:rPr>
          <w:rFonts w:hint="eastAsia" w:ascii="黑体" w:hAnsi="黑体" w:eastAsia="黑体" w:cs="黑体"/>
          <w:color w:val="000000"/>
          <w:spacing w:val="2"/>
          <w:sz w:val="40"/>
          <w:szCs w:val="40"/>
        </w:rPr>
        <w:br w:type="page"/>
      </w:r>
    </w:p>
    <w:p>
      <w:pPr>
        <w:spacing w:line="240" w:lineRule="auto"/>
        <w:jc w:val="center"/>
        <w:rPr>
          <w:rFonts w:hint="eastAsia" w:ascii="黑体" w:hAnsi="黑体" w:eastAsia="黑体" w:cs="黑体"/>
          <w:color w:val="000000"/>
          <w:spacing w:val="2"/>
          <w:sz w:val="40"/>
          <w:szCs w:val="40"/>
        </w:rPr>
      </w:pPr>
      <w:r>
        <w:rPr>
          <w:rFonts w:hint="eastAsia" w:ascii="黑体" w:hAnsi="黑体" w:eastAsia="黑体" w:cs="黑体"/>
          <w:color w:val="000000"/>
          <w:spacing w:val="2"/>
          <w:sz w:val="40"/>
          <w:szCs w:val="40"/>
        </w:rPr>
        <w:t>承诺函</w:t>
      </w:r>
    </w:p>
    <w:p>
      <w:pPr>
        <w:pStyle w:val="5"/>
        <w:rPr>
          <w:rFonts w:hint="eastAsia" w:ascii="黑体" w:hAnsi="黑体" w:eastAsia="黑体" w:cs="黑体"/>
          <w:sz w:val="28"/>
          <w:szCs w:val="28"/>
        </w:rPr>
      </w:pPr>
    </w:p>
    <w:p>
      <w:pPr>
        <w:snapToGrid w:val="0"/>
        <w:spacing w:line="240" w:lineRule="auto"/>
        <w:contextualSpacing/>
        <w:rPr>
          <w:rFonts w:hint="eastAsia" w:ascii="仿宋" w:hAnsi="仿宋" w:eastAsia="仿宋" w:cs="仿宋"/>
          <w:color w:val="000000"/>
          <w:spacing w:val="2"/>
          <w:sz w:val="32"/>
          <w:szCs w:val="32"/>
          <w:lang w:eastAsia="zh-CN"/>
        </w:rPr>
      </w:pPr>
      <w:r>
        <w:rPr>
          <w:rFonts w:hint="eastAsia" w:ascii="仿宋" w:hAnsi="仿宋" w:eastAsia="仿宋" w:cs="仿宋"/>
          <w:color w:val="000000"/>
          <w:spacing w:val="2"/>
          <w:sz w:val="32"/>
          <w:szCs w:val="32"/>
        </w:rPr>
        <w:t>乐山市</w:t>
      </w:r>
      <w:r>
        <w:rPr>
          <w:rFonts w:hint="eastAsia" w:ascii="仿宋" w:hAnsi="仿宋" w:eastAsia="仿宋" w:cs="仿宋"/>
          <w:color w:val="000000"/>
          <w:spacing w:val="2"/>
          <w:sz w:val="32"/>
          <w:szCs w:val="32"/>
          <w:lang w:eastAsia="zh-CN"/>
        </w:rPr>
        <w:t>五通桥区人民医院</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我方作为本次采购项目的供应商，根据供应商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文件要求，现郑重承诺如下：</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一、具备本项目规定的条件</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1.</w:t>
      </w:r>
      <w:r>
        <w:rPr>
          <w:rFonts w:hint="eastAsia" w:ascii="仿宋" w:hAnsi="仿宋" w:eastAsia="仿宋" w:cs="仿宋"/>
          <w:color w:val="000000"/>
          <w:spacing w:val="2"/>
          <w:sz w:val="32"/>
          <w:szCs w:val="32"/>
        </w:rPr>
        <w:t>具有独立承担民事责任的能力；</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2.</w:t>
      </w:r>
      <w:r>
        <w:rPr>
          <w:rFonts w:hint="eastAsia" w:ascii="仿宋" w:hAnsi="仿宋" w:eastAsia="仿宋" w:cs="仿宋"/>
          <w:color w:val="000000"/>
          <w:spacing w:val="2"/>
          <w:sz w:val="32"/>
          <w:szCs w:val="32"/>
        </w:rPr>
        <w:t>具有良好的商业信誉和健全的财务会计制度；</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3.</w:t>
      </w:r>
      <w:r>
        <w:rPr>
          <w:rFonts w:hint="eastAsia" w:ascii="仿宋" w:hAnsi="仿宋" w:eastAsia="仿宋" w:cs="仿宋"/>
          <w:color w:val="000000"/>
          <w:spacing w:val="2"/>
          <w:sz w:val="32"/>
          <w:szCs w:val="32"/>
        </w:rPr>
        <w:t>具有履行合同所必须的设备和专业技术能力；</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4.</w:t>
      </w:r>
      <w:r>
        <w:rPr>
          <w:rFonts w:hint="eastAsia" w:ascii="仿宋" w:hAnsi="仿宋" w:eastAsia="仿宋" w:cs="仿宋"/>
          <w:color w:val="000000"/>
          <w:spacing w:val="2"/>
          <w:sz w:val="32"/>
          <w:szCs w:val="32"/>
        </w:rPr>
        <w:t>具有依法缴纳税收和社会保障资金的良好记录；</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5.</w:t>
      </w:r>
      <w:r>
        <w:rPr>
          <w:rFonts w:hint="eastAsia" w:ascii="仿宋" w:hAnsi="仿宋" w:eastAsia="仿宋" w:cs="仿宋"/>
          <w:color w:val="000000"/>
          <w:spacing w:val="2"/>
          <w:sz w:val="32"/>
          <w:szCs w:val="32"/>
        </w:rPr>
        <w:t>参加本次供应商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活动前三年内，在经营活动中没有重大违法记录；</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val="en-US" w:eastAsia="zh-CN"/>
        </w:rPr>
        <w:t>6.</w:t>
      </w:r>
      <w:r>
        <w:rPr>
          <w:rFonts w:hint="eastAsia" w:ascii="仿宋" w:hAnsi="仿宋" w:eastAsia="仿宋" w:cs="仿宋"/>
          <w:color w:val="000000"/>
          <w:spacing w:val="2"/>
          <w:sz w:val="32"/>
          <w:szCs w:val="32"/>
        </w:rPr>
        <w:t>法律、行政法规规定的其他条件；</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二、我方完全接受本项目供应商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文件中规定的要求，如对供应商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文件有异议，已经在供应商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截止时间届满前依法进行维权，不存在对供应商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文件有异议的同时又参加</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活动以求侥幸成交或者为实现其他非法目的的行为。</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三、我方完全接受并认可本项目供应商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文件中规定的要求，并通过我方的响应文件对供应商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文件的规定要求做出了全面的积极响应，如因我方提供的响应没有完全达到或符合本项目供应商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文件的规定要求，评审小组、本项目采购人等单位或组织按国家法律法规及供应商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文件的规定要求做出的认定、处置行为，我方完全同意。</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四、我方完全尊重并认可本项目供应商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文件中规定并赋予本项目采购人“自主采取公平、择优的方式选择”的权利，对本项目采购人选择的结果完全认同并无异议。</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五、参加本次供应商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活动，不存在与单位负责人为同一人或者存在直接控股、管理关系的其他供应商参与同一合同项下的供应商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活动的行为。</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六、参加本次供应商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活动，不存在和其他供应商在同一合同项下的供应商</w:t>
      </w:r>
      <w:r>
        <w:rPr>
          <w:rFonts w:hint="eastAsia" w:ascii="仿宋" w:hAnsi="仿宋" w:eastAsia="仿宋" w:cs="仿宋"/>
          <w:color w:val="000000"/>
          <w:spacing w:val="2"/>
          <w:sz w:val="32"/>
          <w:szCs w:val="32"/>
          <w:lang w:eastAsia="zh-CN"/>
        </w:rPr>
        <w:t>采购</w:t>
      </w:r>
      <w:r>
        <w:rPr>
          <w:rFonts w:hint="eastAsia" w:ascii="仿宋" w:hAnsi="仿宋" w:eastAsia="仿宋" w:cs="仿宋"/>
          <w:color w:val="000000"/>
          <w:spacing w:val="2"/>
          <w:sz w:val="32"/>
          <w:szCs w:val="32"/>
        </w:rPr>
        <w:t>项目中，同时委托同一个自然人、同一家庭的人员、同一单位的人员作为代理人的行为。</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lang w:eastAsia="zh-CN"/>
        </w:rPr>
        <w:t>七</w:t>
      </w:r>
      <w:r>
        <w:rPr>
          <w:rFonts w:hint="eastAsia" w:ascii="仿宋" w:hAnsi="仿宋" w:eastAsia="仿宋" w:cs="仿宋"/>
          <w:color w:val="000000"/>
          <w:spacing w:val="2"/>
          <w:sz w:val="32"/>
          <w:szCs w:val="32"/>
        </w:rPr>
        <w:t>、供应商响应文件中提供的技术、服务、商务等响应承诺情况都是真实的、有效的、合法的。</w:t>
      </w:r>
    </w:p>
    <w:p>
      <w:pPr>
        <w:pStyle w:val="5"/>
        <w:spacing w:line="240" w:lineRule="auto"/>
        <w:rPr>
          <w:rFonts w:hint="eastAsia" w:ascii="仿宋" w:hAnsi="仿宋" w:eastAsia="仿宋" w:cs="仿宋"/>
          <w:sz w:val="32"/>
          <w:szCs w:val="32"/>
          <w:lang w:val="en-US" w:eastAsia="zh-CN"/>
        </w:rPr>
      </w:pPr>
      <w:r>
        <w:rPr>
          <w:rFonts w:hint="eastAsia" w:ascii="仿宋" w:hAnsi="仿宋" w:eastAsia="仿宋" w:cs="仿宋"/>
          <w:color w:val="000000"/>
          <w:spacing w:val="2"/>
          <w:sz w:val="32"/>
          <w:szCs w:val="32"/>
          <w:lang w:val="en-US" w:eastAsia="zh-CN"/>
        </w:rPr>
        <w:t xml:space="preserve">    八、</w:t>
      </w:r>
      <w:r>
        <w:rPr>
          <w:rFonts w:hint="eastAsia" w:ascii="仿宋" w:hAnsi="仿宋" w:eastAsia="仿宋" w:cs="仿宋"/>
          <w:color w:val="000000"/>
          <w:spacing w:val="2"/>
          <w:kern w:val="2"/>
          <w:sz w:val="32"/>
          <w:szCs w:val="32"/>
          <w:lang w:val="en-US" w:eastAsia="zh-CN" w:bidi="ar-SA"/>
        </w:rPr>
        <w:t>如本项目谈判采购过程中需要提供样品，则我公司提供的样品即为成交后将要提供的成交产品，我公司对提供样品的性能和质量负责，因样品存在缺陷或者不符合谈判文件要求导致未能成交的，我公司愿意承担相应不利后果。</w:t>
      </w:r>
    </w:p>
    <w:p>
      <w:pPr>
        <w:snapToGrid w:val="0"/>
        <w:spacing w:line="240" w:lineRule="auto"/>
        <w:ind w:firstLine="648" w:firstLineChars="200"/>
        <w:contextualSpacing/>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本公司对上述承诺的内容事项真实性负责。如经查实上述承诺的内容事项存在虚假，我公司愿意接受以提供虚假材料谋取成交追究法律责任。</w:t>
      </w:r>
    </w:p>
    <w:p>
      <w:pPr>
        <w:pStyle w:val="30"/>
        <w:rPr>
          <w:rFonts w:hint="eastAsia" w:ascii="仿宋" w:hAnsi="仿宋" w:eastAsia="仿宋" w:cs="仿宋"/>
          <w:sz w:val="32"/>
          <w:szCs w:val="32"/>
        </w:rPr>
      </w:pPr>
    </w:p>
    <w:p>
      <w:pPr>
        <w:rPr>
          <w:rFonts w:hint="eastAsia"/>
        </w:rPr>
      </w:pPr>
    </w:p>
    <w:p>
      <w:pPr>
        <w:snapToGrid w:val="0"/>
        <w:spacing w:line="360" w:lineRule="auto"/>
        <w:ind w:firstLine="2916" w:firstLineChars="900"/>
        <w:contextualSpacing/>
        <w:jc w:val="right"/>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供应商名称（单位公章）：XXXX</w:t>
      </w:r>
    </w:p>
    <w:p>
      <w:pPr>
        <w:snapToGrid w:val="0"/>
        <w:spacing w:line="360" w:lineRule="auto"/>
        <w:ind w:firstLine="2916" w:firstLineChars="900"/>
        <w:contextualSpacing/>
        <w:jc w:val="right"/>
        <w:rPr>
          <w:rFonts w:hint="eastAsia" w:ascii="仿宋" w:hAnsi="仿宋" w:eastAsia="仿宋" w:cs="仿宋"/>
          <w:color w:val="000000"/>
          <w:spacing w:val="2"/>
          <w:sz w:val="32"/>
          <w:szCs w:val="32"/>
        </w:rPr>
      </w:pPr>
      <w:r>
        <w:rPr>
          <w:rFonts w:hint="eastAsia" w:ascii="仿宋" w:hAnsi="仿宋" w:eastAsia="仿宋" w:cs="仿宋"/>
          <w:color w:val="000000"/>
          <w:spacing w:val="2"/>
          <w:sz w:val="32"/>
          <w:szCs w:val="32"/>
        </w:rPr>
        <w:t>法定代表人或授权代表（签字或加盖个人名章）：XXXX</w:t>
      </w:r>
    </w:p>
    <w:p>
      <w:pPr>
        <w:snapToGrid w:val="0"/>
        <w:spacing w:line="360" w:lineRule="auto"/>
        <w:ind w:firstLine="2916" w:firstLineChars="900"/>
        <w:contextualSpacing/>
        <w:jc w:val="right"/>
        <w:rPr>
          <w:rFonts w:hint="eastAsia" w:ascii="黑体" w:hAnsi="黑体" w:eastAsia="黑体" w:cs="黑体"/>
          <w:color w:val="000000"/>
          <w:spacing w:val="2"/>
          <w:sz w:val="28"/>
          <w:szCs w:val="28"/>
        </w:rPr>
      </w:pPr>
      <w:r>
        <w:rPr>
          <w:rFonts w:hint="eastAsia" w:ascii="仿宋" w:hAnsi="仿宋" w:eastAsia="仿宋" w:cs="仿宋"/>
          <w:color w:val="000000"/>
          <w:spacing w:val="2"/>
          <w:sz w:val="32"/>
          <w:szCs w:val="32"/>
        </w:rPr>
        <w:t>日期：XXXX</w:t>
      </w:r>
    </w:p>
    <w:p>
      <w:pPr>
        <w:pStyle w:val="5"/>
        <w:adjustRightInd w:val="0"/>
        <w:snapToGrid w:val="0"/>
        <w:spacing w:after="0" w:line="360" w:lineRule="auto"/>
        <w:ind w:firstLine="560" w:firstLineChars="200"/>
        <w:rPr>
          <w:rFonts w:hint="eastAsia" w:ascii="黑体" w:hAnsi="黑体" w:eastAsia="黑体" w:cs="黑体"/>
          <w:sz w:val="28"/>
          <w:szCs w:val="28"/>
          <w:lang w:eastAsia="zh-CN"/>
        </w:rPr>
      </w:pPr>
    </w:p>
    <w:p>
      <w:pPr>
        <w:pStyle w:val="5"/>
        <w:adjustRightInd w:val="0"/>
        <w:snapToGrid w:val="0"/>
        <w:spacing w:after="0" w:line="360" w:lineRule="auto"/>
        <w:ind w:firstLine="560" w:firstLineChars="200"/>
        <w:rPr>
          <w:rFonts w:hint="eastAsia" w:ascii="黑体" w:hAnsi="黑体" w:eastAsia="黑体" w:cs="黑体"/>
          <w:sz w:val="28"/>
          <w:szCs w:val="28"/>
          <w:lang w:eastAsia="zh-CN"/>
        </w:rPr>
      </w:pPr>
    </w:p>
    <w:bookmarkEnd w:id="4"/>
    <w:bookmarkEnd w:id="5"/>
    <w:bookmarkEnd w:id="6"/>
    <w:bookmarkEnd w:id="7"/>
    <w:p>
      <w:pPr>
        <w:spacing w:beforeLines="100" w:afterLines="200" w:line="320" w:lineRule="exact"/>
        <w:jc w:val="center"/>
        <w:rPr>
          <w:rFonts w:hint="eastAsia" w:ascii="黑体" w:hAnsi="黑体" w:eastAsia="黑体" w:cs="黑体"/>
          <w:color w:val="auto"/>
          <w:sz w:val="40"/>
          <w:szCs w:val="40"/>
        </w:rPr>
      </w:pPr>
      <w:bookmarkStart w:id="8" w:name="_Toc16184"/>
      <w:bookmarkStart w:id="9" w:name="_Toc199"/>
      <w:bookmarkStart w:id="10" w:name="_Toc439699522"/>
      <w:bookmarkStart w:id="11" w:name="_Toc1800"/>
      <w:bookmarkStart w:id="12" w:name="_Toc24199"/>
      <w:bookmarkStart w:id="13" w:name="_Toc1287"/>
      <w:bookmarkStart w:id="14" w:name="_Toc12426"/>
      <w:r>
        <w:rPr>
          <w:rFonts w:hint="eastAsia" w:ascii="黑体" w:hAnsi="黑体" w:eastAsia="黑体" w:cs="黑体"/>
        </w:rPr>
        <w:br w:type="page"/>
      </w:r>
      <w:bookmarkEnd w:id="8"/>
      <w:bookmarkEnd w:id="9"/>
      <w:bookmarkEnd w:id="10"/>
      <w:bookmarkEnd w:id="11"/>
      <w:bookmarkEnd w:id="12"/>
      <w:bookmarkEnd w:id="13"/>
      <w:bookmarkEnd w:id="14"/>
      <w:r>
        <w:rPr>
          <w:rFonts w:hint="eastAsia" w:ascii="黑体" w:hAnsi="黑体" w:eastAsia="黑体" w:cs="黑体"/>
          <w:color w:val="auto"/>
          <w:sz w:val="40"/>
          <w:szCs w:val="40"/>
        </w:rPr>
        <w:t>购销廉洁、诚信承诺书</w:t>
      </w:r>
    </w:p>
    <w:p>
      <w:pPr>
        <w:pStyle w:val="28"/>
        <w:spacing w:line="240" w:lineRule="auto"/>
        <w:ind w:left="0" w:leftChars="0" w:firstLine="0" w:firstLineChars="0"/>
        <w:rPr>
          <w:rFonts w:hint="eastAsia" w:ascii="仿宋" w:hAnsi="仿宋" w:eastAsia="仿宋" w:cs="仿宋"/>
          <w:color w:val="auto"/>
          <w:sz w:val="32"/>
          <w:szCs w:val="32"/>
        </w:rPr>
      </w:pPr>
      <w:bookmarkStart w:id="15" w:name="_Toc5468"/>
      <w:r>
        <w:rPr>
          <w:rFonts w:hint="eastAsia" w:ascii="仿宋" w:hAnsi="仿宋" w:eastAsia="仿宋" w:cs="仿宋"/>
          <w:color w:val="auto"/>
          <w:sz w:val="32"/>
          <w:szCs w:val="32"/>
        </w:rPr>
        <w:t>乐山市</w:t>
      </w:r>
      <w:r>
        <w:rPr>
          <w:rFonts w:hint="eastAsia" w:ascii="仿宋" w:hAnsi="仿宋" w:eastAsia="仿宋" w:cs="仿宋"/>
          <w:color w:val="auto"/>
          <w:sz w:val="32"/>
          <w:szCs w:val="32"/>
          <w:lang w:eastAsia="zh-CN"/>
        </w:rPr>
        <w:t>五通桥区</w:t>
      </w:r>
      <w:r>
        <w:rPr>
          <w:rFonts w:hint="eastAsia" w:ascii="仿宋" w:hAnsi="仿宋" w:eastAsia="仿宋" w:cs="仿宋"/>
          <w:color w:val="auto"/>
          <w:sz w:val="32"/>
          <w:szCs w:val="32"/>
        </w:rPr>
        <w:t>人民医院：</w:t>
      </w:r>
    </w:p>
    <w:p>
      <w:pPr>
        <w:pStyle w:val="28"/>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为进一步加强医疗卫生行风建设，规范医疗卫生机构购销行为，有效防范商业贿赂行为，营造公平交易、诚实守信的购销环境，我公司特作出以下承诺，并严格遵守：</w:t>
      </w:r>
    </w:p>
    <w:p>
      <w:pPr>
        <w:pStyle w:val="28"/>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一、本公司严格按照《</w:t>
      </w:r>
      <w:r>
        <w:rPr>
          <w:rFonts w:hint="eastAsia" w:ascii="仿宋" w:hAnsi="仿宋" w:eastAsia="仿宋" w:cs="仿宋"/>
          <w:color w:val="auto"/>
          <w:sz w:val="32"/>
          <w:szCs w:val="32"/>
          <w:lang w:eastAsia="zh-CN"/>
        </w:rPr>
        <w:t>民法典</w:t>
      </w:r>
      <w:r>
        <w:rPr>
          <w:rFonts w:hint="eastAsia" w:ascii="仿宋" w:hAnsi="仿宋" w:eastAsia="仿宋" w:cs="仿宋"/>
          <w:color w:val="auto"/>
          <w:sz w:val="32"/>
          <w:szCs w:val="32"/>
        </w:rPr>
        <w:t>》及购销合同约定购销相关产品。</w:t>
      </w:r>
    </w:p>
    <w:p>
      <w:pPr>
        <w:pStyle w:val="28"/>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本公司不得以任何名义和形式的回扣、宴请等方式影响医院工作人员采购或使用产品的选择权，不得向医院工作人员安排娱乐活动，以及提供现金、有价证券、支付凭证和贵重礼品，不得在学术活动中提供旅游、超标准支付食宿费用。</w:t>
      </w:r>
    </w:p>
    <w:p>
      <w:pPr>
        <w:pStyle w:val="28"/>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三、本公司指定              （联系电话：          ）作为销售代表洽谈业务。销售代表严格在工作时间到医院指定地点联系商谈，不得到住院部、门诊部、医技科室等推销相关产品，不得借故到医院相关领导、部门负责人及相关工作人员家中访谈并提供任何好处费。</w:t>
      </w:r>
    </w:p>
    <w:p>
      <w:pPr>
        <w:pStyle w:val="28"/>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四、本公司在参加甲方组织的采购活动中，坚持公开、公平、公正和诚实信用的原则，按照医院对经销商资质管理规定和报价要求，备齐所需资料，并保证投标（报价）文件中所提供的全部材料真实、有效和合法，不伪造、变造所提供的相关价格依据（如公司向省内上级或同级医院的销售发票、应税劳务清单、购销合同、公司进货发票复印件以及其它有效价格证明等），不提供虚假信息，不以弄虚作假的方式骗取中标或成交资格。</w:t>
      </w:r>
    </w:p>
    <w:p>
      <w:pPr>
        <w:pStyle w:val="28"/>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五、本公司如违反本承诺，愿意接受医院相关处罚规定。</w:t>
      </w:r>
    </w:p>
    <w:p>
      <w:pPr>
        <w:pStyle w:val="28"/>
        <w:spacing w:line="240" w:lineRule="auto"/>
        <w:ind w:left="0" w:leftChars="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供应商或厂家名称：        （盖章）</w:t>
      </w:r>
    </w:p>
    <w:p>
      <w:pPr>
        <w:pStyle w:val="28"/>
        <w:spacing w:line="240" w:lineRule="auto"/>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法定代表人或授权代表（签字）：</w:t>
      </w:r>
    </w:p>
    <w:p>
      <w:pPr>
        <w:pStyle w:val="28"/>
        <w:spacing w:line="240" w:lineRule="auto"/>
        <w:ind w:firstLine="0"/>
        <w:rPr>
          <w:rFonts w:hint="eastAsia" w:ascii="仿宋" w:hAnsi="仿宋" w:eastAsia="仿宋" w:cs="仿宋"/>
          <w:color w:val="auto"/>
          <w:sz w:val="32"/>
          <w:szCs w:val="32"/>
        </w:rPr>
      </w:pPr>
    </w:p>
    <w:p>
      <w:pPr>
        <w:pStyle w:val="28"/>
        <w:spacing w:line="240" w:lineRule="auto"/>
        <w:ind w:firstLine="0"/>
        <w:rPr>
          <w:rFonts w:hint="eastAsia" w:ascii="仿宋" w:hAnsi="仿宋" w:eastAsia="仿宋" w:cs="仿宋"/>
          <w:color w:val="auto"/>
          <w:sz w:val="32"/>
          <w:szCs w:val="32"/>
        </w:rPr>
      </w:pPr>
    </w:p>
    <w:p>
      <w:pPr>
        <w:autoSpaceDN w:val="0"/>
        <w:spacing w:line="240" w:lineRule="auto"/>
        <w:ind w:firstLine="6560" w:firstLineChars="2050"/>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t>日期：202</w:t>
      </w:r>
      <w:r>
        <w:rPr>
          <w:rFonts w:hint="eastAsia" w:ascii="仿宋" w:hAnsi="仿宋" w:eastAsia="仿宋" w:cs="仿宋"/>
          <w:color w:val="auto"/>
          <w:kern w:val="2"/>
          <w:sz w:val="32"/>
          <w:szCs w:val="32"/>
          <w:lang w:val="en-US" w:eastAsia="zh-CN"/>
        </w:rPr>
        <w:t>3</w:t>
      </w:r>
      <w:r>
        <w:rPr>
          <w:rFonts w:hint="eastAsia" w:ascii="仿宋" w:hAnsi="仿宋" w:eastAsia="仿宋" w:cs="仿宋"/>
          <w:color w:val="auto"/>
          <w:kern w:val="2"/>
          <w:sz w:val="32"/>
          <w:szCs w:val="32"/>
        </w:rPr>
        <w:t>年  月  日</w:t>
      </w:r>
      <w:bookmarkEnd w:id="15"/>
    </w:p>
    <w:p>
      <w:pPr>
        <w:rPr>
          <w:rFonts w:hint="eastAsia" w:ascii="仿宋" w:hAnsi="仿宋" w:eastAsia="仿宋" w:cs="仿宋"/>
          <w:color w:val="auto"/>
          <w:kern w:val="2"/>
          <w:sz w:val="32"/>
          <w:szCs w:val="32"/>
        </w:rPr>
      </w:pPr>
      <w:r>
        <w:rPr>
          <w:rFonts w:hint="eastAsia" w:ascii="仿宋" w:hAnsi="仿宋" w:eastAsia="仿宋" w:cs="仿宋"/>
          <w:color w:val="auto"/>
          <w:kern w:val="2"/>
          <w:sz w:val="32"/>
          <w:szCs w:val="32"/>
        </w:rPr>
        <w:br w:type="page"/>
      </w:r>
    </w:p>
    <w:p>
      <w:pPr>
        <w:spacing w:after="0" w:line="360" w:lineRule="auto"/>
        <w:rPr>
          <w:rFonts w:hint="eastAsia" w:ascii="黑体" w:hAnsi="黑体" w:eastAsia="黑体" w:cs="黑体"/>
        </w:rPr>
      </w:pPr>
    </w:p>
    <w:p>
      <w:pPr>
        <w:jc w:val="center"/>
        <w:rPr>
          <w:rFonts w:hint="eastAsia" w:ascii="黑体" w:hAnsi="黑体" w:eastAsia="黑体" w:cs="黑体"/>
          <w:sz w:val="36"/>
          <w:szCs w:val="44"/>
          <w:lang w:val="en-US" w:eastAsia="zh-CN"/>
        </w:rPr>
      </w:pPr>
      <w:r>
        <w:rPr>
          <w:rFonts w:hint="eastAsia" w:ascii="黑体" w:hAnsi="黑体" w:eastAsia="黑体" w:cs="黑体"/>
          <w:b/>
          <w:sz w:val="36"/>
          <w:szCs w:val="36"/>
        </w:rPr>
        <w:t>第</w:t>
      </w:r>
      <w:r>
        <w:rPr>
          <w:rFonts w:hint="eastAsia" w:ascii="黑体" w:hAnsi="黑体" w:eastAsia="黑体" w:cs="黑体"/>
          <w:b/>
          <w:sz w:val="36"/>
          <w:szCs w:val="36"/>
          <w:lang w:eastAsia="zh-CN"/>
        </w:rPr>
        <w:t>五</w:t>
      </w:r>
      <w:r>
        <w:rPr>
          <w:rFonts w:hint="eastAsia" w:ascii="黑体" w:hAnsi="黑体" w:eastAsia="黑体" w:cs="黑体"/>
          <w:b/>
          <w:sz w:val="36"/>
          <w:szCs w:val="36"/>
        </w:rPr>
        <w:t xml:space="preserve">章  </w:t>
      </w:r>
      <w:r>
        <w:rPr>
          <w:rFonts w:hint="eastAsia" w:ascii="黑体" w:hAnsi="黑体" w:eastAsia="黑体" w:cs="黑体"/>
          <w:b/>
          <w:sz w:val="36"/>
          <w:szCs w:val="36"/>
          <w:lang w:val="en-US" w:eastAsia="zh-CN"/>
        </w:rPr>
        <w:t>采购项目技术、服务及其他商务要求</w:t>
      </w:r>
    </w:p>
    <w:p>
      <w:pPr>
        <w:pStyle w:val="3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标的名称：手摇手摇式三折病床，数量20张</w:t>
      </w:r>
    </w:p>
    <w:p>
      <w:pPr>
        <w:pStyle w:val="32"/>
        <w:rPr>
          <w:rFonts w:hint="default"/>
        </w:rPr>
      </w:pPr>
      <w:r>
        <w:rPr>
          <w:rFonts w:hint="eastAsia" w:ascii="仿宋" w:hAnsi="仿宋" w:eastAsia="仿宋" w:cs="仿宋"/>
          <w:sz w:val="32"/>
          <w:szCs w:val="32"/>
          <w:lang w:val="en-US" w:eastAsia="zh-CN"/>
        </w:rPr>
        <w:t>技术参数要求：</w:t>
      </w:r>
    </w:p>
    <w:p>
      <w:pPr>
        <w:spacing w:line="360" w:lineRule="auto"/>
        <w:rPr>
          <w:rFonts w:hint="eastAsia" w:ascii="仿宋" w:hAnsi="仿宋" w:eastAsia="仿宋" w:cs="仿宋"/>
          <w:sz w:val="32"/>
          <w:szCs w:val="32"/>
        </w:rPr>
      </w:pPr>
      <w:r>
        <w:rPr>
          <w:rFonts w:hint="eastAsia" w:ascii="仿宋" w:hAnsi="仿宋" w:eastAsia="仿宋" w:cs="仿宋"/>
          <w:sz w:val="32"/>
          <w:szCs w:val="32"/>
        </w:rPr>
        <w:t>1、产品规格</w:t>
      </w:r>
    </w:p>
    <w:p>
      <w:pPr>
        <w:pStyle w:val="27"/>
        <w:numPr>
          <w:ilvl w:val="0"/>
          <w:numId w:val="2"/>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规格：2110×965×500mm±10mm</w:t>
      </w:r>
    </w:p>
    <w:p>
      <w:pPr>
        <w:pStyle w:val="27"/>
        <w:numPr>
          <w:ilvl w:val="0"/>
          <w:numId w:val="2"/>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床面长宽规格：1940×830mm±5mm</w:t>
      </w:r>
    </w:p>
    <w:p>
      <w:pPr>
        <w:spacing w:line="360" w:lineRule="auto"/>
        <w:rPr>
          <w:rFonts w:hint="eastAsia" w:ascii="仿宋" w:hAnsi="仿宋" w:eastAsia="仿宋" w:cs="仿宋"/>
          <w:sz w:val="32"/>
          <w:szCs w:val="32"/>
        </w:rPr>
      </w:pPr>
      <w:r>
        <w:rPr>
          <w:rFonts w:hint="eastAsia" w:ascii="仿宋" w:hAnsi="仿宋" w:eastAsia="仿宋" w:cs="仿宋"/>
          <w:sz w:val="32"/>
          <w:szCs w:val="32"/>
        </w:rPr>
        <w:t>2、产品功能</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升降范围：背板0～70°±5°, 腿板0～45°±5°, 小腿板调节高度档位数≥6级。</w:t>
      </w:r>
    </w:p>
    <w:p>
      <w:pPr>
        <w:spacing w:line="360" w:lineRule="auto"/>
        <w:rPr>
          <w:rFonts w:hint="eastAsia" w:ascii="仿宋" w:hAnsi="仿宋" w:eastAsia="仿宋" w:cs="仿宋"/>
          <w:sz w:val="32"/>
          <w:szCs w:val="32"/>
        </w:rPr>
      </w:pPr>
      <w:r>
        <w:rPr>
          <w:rFonts w:hint="eastAsia" w:ascii="仿宋" w:hAnsi="仿宋" w:eastAsia="仿宋" w:cs="仿宋"/>
          <w:sz w:val="32"/>
          <w:szCs w:val="32"/>
        </w:rPr>
        <w:t>3、技术参数</w:t>
      </w:r>
    </w:p>
    <w:p>
      <w:pPr>
        <w:pStyle w:val="27"/>
        <w:numPr>
          <w:ilvl w:val="0"/>
          <w:numId w:val="3"/>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安全工作载荷≥135kg；最大静载荷≥400kg。</w:t>
      </w:r>
    </w:p>
    <w:p>
      <w:pPr>
        <w:pStyle w:val="27"/>
        <w:numPr>
          <w:ilvl w:val="0"/>
          <w:numId w:val="3"/>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▲床框主架边管采用碳钢≥30×60×1.5mm矩管，设双钩引流袋挂钩2个，输液架插座4个，隐藏式餐桌板放置架1个。采用焊接机器人以集群焊接，整床金属部件100% 施以高精度焊接工艺，确保病床安全可靠。</w:t>
      </w:r>
      <w:r>
        <w:rPr>
          <w:rFonts w:hint="eastAsia" w:ascii="仿宋" w:hAnsi="仿宋" w:eastAsia="仿宋" w:cs="仿宋"/>
          <w:color w:val="auto"/>
          <w:sz w:val="32"/>
          <w:szCs w:val="32"/>
        </w:rPr>
        <w:t>（提供焊接机器人采购发票复印件证明）</w:t>
      </w:r>
    </w:p>
    <w:p>
      <w:pPr>
        <w:pStyle w:val="27"/>
        <w:numPr>
          <w:ilvl w:val="0"/>
          <w:numId w:val="3"/>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床面板采用≥1.0mm碳钢冷轧板整体一次性拉伸成型，拉伸深度为38mm，床面均布≥80个透气孔，床面四角≥20mm圆角，各棱边采用≥8mm斜面45°过渡倒角，防碰伤身体，各段床面设置≥8条加强防滑筋条。</w:t>
      </w:r>
    </w:p>
    <w:p>
      <w:pPr>
        <w:pStyle w:val="27"/>
        <w:numPr>
          <w:ilvl w:val="0"/>
          <w:numId w:val="3"/>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背板与升降结构分离式，方便清洁消毒；各床面间连接采用≥6.0mm钢板，外部ABS树脂塑料保护罩；脚段床面设置U型防滑件，避免背板床面升降时床垫滑动。</w:t>
      </w:r>
    </w:p>
    <w:p>
      <w:pPr>
        <w:pStyle w:val="27"/>
        <w:numPr>
          <w:ilvl w:val="0"/>
          <w:numId w:val="3"/>
        </w:numPr>
        <w:spacing w:line="360" w:lineRule="auto"/>
        <w:ind w:firstLineChars="0"/>
        <w:rPr>
          <w:rFonts w:hint="eastAsia" w:ascii="仿宋" w:hAnsi="仿宋" w:eastAsia="仿宋" w:cs="仿宋"/>
          <w:color w:val="auto"/>
          <w:sz w:val="32"/>
          <w:szCs w:val="32"/>
        </w:rPr>
      </w:pPr>
      <w:r>
        <w:rPr>
          <w:rFonts w:hint="eastAsia" w:ascii="仿宋" w:hAnsi="仿宋" w:eastAsia="仿宋" w:cs="仿宋"/>
          <w:sz w:val="32"/>
          <w:szCs w:val="32"/>
        </w:rPr>
        <w:t>▲病床升降系统丝杆采用双向过摇打滑丝杆装置，配防尘罩，摇手上移印功能标识。额定载荷下负载运行疲劳测试≥10000次应无功能性损伤，且摇手启动力≤50N。</w:t>
      </w:r>
      <w:r>
        <w:rPr>
          <w:rFonts w:hint="eastAsia" w:ascii="仿宋" w:hAnsi="仿宋" w:eastAsia="仿宋" w:cs="仿宋"/>
          <w:color w:val="auto"/>
          <w:sz w:val="32"/>
          <w:szCs w:val="32"/>
        </w:rPr>
        <w:t>（提供双向过盈保护丝杆单独第三方检测报告）</w:t>
      </w:r>
    </w:p>
    <w:p>
      <w:pPr>
        <w:pStyle w:val="27"/>
        <w:numPr>
          <w:ilvl w:val="0"/>
          <w:numId w:val="3"/>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▲背段升降结构采用双臂水平滑动转轴，双支撑臂卸力结构，分散背部承重力，减小非均布载荷时的背板变形量。在载荷疲劳测试≥10000次应无功能性损伤，且背段、腿段升至最高位时床面左右形变量差值≤10mm</w:t>
      </w:r>
      <w:r>
        <w:rPr>
          <w:rFonts w:hint="eastAsia" w:ascii="仿宋" w:hAnsi="仿宋" w:eastAsia="仿宋" w:cs="仿宋"/>
          <w:color w:val="auto"/>
          <w:sz w:val="32"/>
          <w:szCs w:val="32"/>
        </w:rPr>
        <w:t>（提供双臂水平滑动转轴组件单独第三方检测报告）</w:t>
      </w:r>
    </w:p>
    <w:p>
      <w:pPr>
        <w:pStyle w:val="27"/>
        <w:numPr>
          <w:ilvl w:val="0"/>
          <w:numId w:val="3"/>
        </w:numPr>
        <w:spacing w:line="360" w:lineRule="auto"/>
        <w:ind w:firstLineChars="0"/>
        <w:rPr>
          <w:rFonts w:hint="eastAsia" w:ascii="仿宋" w:hAnsi="仿宋" w:eastAsia="仿宋" w:cs="仿宋"/>
          <w:color w:val="FF0000"/>
          <w:sz w:val="32"/>
          <w:szCs w:val="32"/>
          <w:highlight w:val="yellow"/>
        </w:rPr>
      </w:pPr>
      <w:r>
        <w:rPr>
          <w:rFonts w:hint="eastAsia" w:ascii="仿宋" w:hAnsi="仿宋" w:eastAsia="仿宋" w:cs="仿宋"/>
          <w:sz w:val="32"/>
          <w:szCs w:val="32"/>
        </w:rPr>
        <w:t>▲折叠护栏有效防护长度应≥1430mm，防护状态时距床面高度应≥350mm, 收折平放后护栏上主管低于床垫≥30mm，铝型材厚度≥1.5mm，立柱≥6根，自锁开关采用ADC12铝合金型材压铸制造，护栏上方紧固件带胶盖密封保护，护栏外侧配有防撞条；护栏耐用性疲劳测试，在受力下，向下拉力≥800N,其余5个面拉力≥500N,立经≥100小时不会产生永久性变型。</w:t>
      </w:r>
      <w:r>
        <w:rPr>
          <w:rFonts w:hint="eastAsia" w:ascii="仿宋" w:hAnsi="仿宋" w:eastAsia="仿宋" w:cs="仿宋"/>
          <w:color w:val="auto"/>
          <w:sz w:val="32"/>
          <w:szCs w:val="32"/>
        </w:rPr>
        <w:t>（提供折叠护栏单独第三方检测报告）</w:t>
      </w:r>
    </w:p>
    <w:p>
      <w:pPr>
        <w:pStyle w:val="27"/>
        <w:numPr>
          <w:ilvl w:val="0"/>
          <w:numId w:val="3"/>
        </w:numPr>
        <w:spacing w:line="360" w:lineRule="auto"/>
        <w:ind w:firstLineChars="0"/>
        <w:jc w:val="left"/>
        <w:rPr>
          <w:rFonts w:hint="eastAsia" w:ascii="仿宋" w:hAnsi="仿宋" w:eastAsia="仿宋" w:cs="仿宋"/>
          <w:sz w:val="32"/>
          <w:szCs w:val="32"/>
        </w:rPr>
      </w:pPr>
      <w:r>
        <w:rPr>
          <w:rFonts w:hint="eastAsia" w:ascii="仿宋" w:hAnsi="仿宋" w:eastAsia="仿宋" w:cs="仿宋"/>
          <w:sz w:val="32"/>
          <w:szCs w:val="32"/>
        </w:rPr>
        <w:t>小腿板床面支撑采用伸缩式滑条，滑条伸缩调节范围≥140mm,在伸缩范围内可调节位数有6档；滑条外壳采用t2.0冷轧钢板，模压一体成型全覆盖式整体外包壳，杜绝滑条外壳采用拼接工艺；中滑条采用t3.0冷轧钢板，冲压一体成型。伸缩机构采用挂钩定位销压簧卡座等滑动零件安装在滑条外壳内，手动提拉到外壳档位缺口位置自动定位自锁。</w:t>
      </w:r>
    </w:p>
    <w:p>
      <w:pPr>
        <w:pStyle w:val="27"/>
        <w:numPr>
          <w:ilvl w:val="0"/>
          <w:numId w:val="3"/>
        </w:numPr>
        <w:spacing w:line="360" w:lineRule="auto"/>
        <w:ind w:firstLineChars="0"/>
        <w:rPr>
          <w:rFonts w:hint="eastAsia" w:ascii="仿宋" w:hAnsi="仿宋" w:eastAsia="仿宋" w:cs="仿宋"/>
          <w:color w:val="FF0000"/>
          <w:sz w:val="32"/>
          <w:szCs w:val="32"/>
        </w:rPr>
      </w:pPr>
      <w:r>
        <w:rPr>
          <w:rFonts w:hint="eastAsia" w:ascii="仿宋" w:hAnsi="仿宋" w:eastAsia="仿宋" w:cs="仿宋"/>
          <w:sz w:val="32"/>
          <w:szCs w:val="32"/>
        </w:rPr>
        <w:t>▲床整体金属采用电泳加静电粉末喷涂双重涂层技术，使其抗酸碱、耐腐蚀、耐褪色，防刮伤能力强，管壁内外均有双重涂层防锈，延长病床使用寿命。</w:t>
      </w:r>
      <w:r>
        <w:rPr>
          <w:rFonts w:hint="eastAsia" w:ascii="仿宋" w:hAnsi="仿宋" w:eastAsia="仿宋" w:cs="仿宋"/>
          <w:color w:val="auto"/>
          <w:sz w:val="32"/>
          <w:szCs w:val="32"/>
        </w:rPr>
        <w:t>（提供电泳喷粉涂装生产线加工设备现场工作图片及购买加工设备发票复印件）</w:t>
      </w:r>
    </w:p>
    <w:p>
      <w:pPr>
        <w:pStyle w:val="27"/>
        <w:numPr>
          <w:ilvl w:val="0"/>
          <w:numId w:val="3"/>
        </w:numPr>
        <w:spacing w:line="360" w:lineRule="auto"/>
        <w:ind w:firstLineChars="0"/>
        <w:rPr>
          <w:rFonts w:hint="eastAsia" w:ascii="仿宋" w:hAnsi="仿宋" w:eastAsia="仿宋" w:cs="仿宋"/>
          <w:color w:val="FF0000"/>
          <w:sz w:val="32"/>
          <w:szCs w:val="32"/>
        </w:rPr>
      </w:pPr>
      <w:r>
        <w:rPr>
          <w:rFonts w:hint="eastAsia" w:ascii="仿宋" w:hAnsi="仿宋" w:eastAsia="仿宋" w:cs="仿宋"/>
          <w:sz w:val="32"/>
          <w:szCs w:val="32"/>
        </w:rPr>
        <w:t>床头板由全新料聚丙烯（PP）材料吹塑成型，壁厚≥4mm，内嵌对扣式ABS树脂装饰板，注塑成色，色彩可选，可按要求激光打印标识；塑料件经过100小时氙灯老化试验,试验后外观变色﹤2级。</w:t>
      </w:r>
    </w:p>
    <w:p>
      <w:pPr>
        <w:pStyle w:val="27"/>
        <w:numPr>
          <w:ilvl w:val="0"/>
          <w:numId w:val="3"/>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kern w:val="0"/>
          <w:sz w:val="32"/>
          <w:szCs w:val="32"/>
        </w:rPr>
        <w:t>床头锁紧结构采用挂榫，</w:t>
      </w:r>
      <w:r>
        <w:rPr>
          <w:rFonts w:hint="eastAsia" w:ascii="仿宋" w:hAnsi="仿宋" w:eastAsia="仿宋" w:cs="仿宋"/>
          <w:sz w:val="32"/>
          <w:szCs w:val="32"/>
        </w:rPr>
        <w:t>对称式快速挂座，</w:t>
      </w:r>
      <w:r>
        <w:rPr>
          <w:rFonts w:hint="eastAsia" w:ascii="仿宋" w:hAnsi="仿宋" w:eastAsia="仿宋" w:cs="仿宋"/>
          <w:kern w:val="0"/>
          <w:sz w:val="32"/>
          <w:szCs w:val="32"/>
        </w:rPr>
        <w:t>方便快速安装或拆卸。</w:t>
      </w:r>
      <w:r>
        <w:rPr>
          <w:rFonts w:hint="eastAsia" w:ascii="仿宋" w:hAnsi="仿宋" w:eastAsia="仿宋" w:cs="仿宋"/>
          <w:sz w:val="32"/>
          <w:szCs w:val="32"/>
        </w:rPr>
        <w:t>额定载荷下，刹车锁定状态下床头推手位置施加200N病床无法移动，施加500N推拉力，持续30S,反复10次，床头无功能性损伤、锁紧可靠。</w:t>
      </w:r>
      <w:r>
        <w:rPr>
          <w:rFonts w:hint="eastAsia" w:ascii="仿宋" w:hAnsi="仿宋" w:eastAsia="仿宋" w:cs="仿宋"/>
          <w:color w:val="auto"/>
          <w:sz w:val="32"/>
          <w:szCs w:val="32"/>
        </w:rPr>
        <w:t>（提供第三方检测报告）</w:t>
      </w:r>
    </w:p>
    <w:p>
      <w:pPr>
        <w:pStyle w:val="27"/>
        <w:numPr>
          <w:ilvl w:val="0"/>
          <w:numId w:val="3"/>
        </w:numPr>
        <w:spacing w:line="360" w:lineRule="auto"/>
        <w:ind w:firstLineChars="0"/>
        <w:rPr>
          <w:rFonts w:hint="eastAsia" w:ascii="仿宋" w:hAnsi="仿宋" w:eastAsia="仿宋" w:cs="仿宋"/>
          <w:sz w:val="32"/>
          <w:szCs w:val="32"/>
        </w:rPr>
      </w:pPr>
      <w:bookmarkStart w:id="16" w:name="_Hlk104792171"/>
      <w:r>
        <w:rPr>
          <w:rFonts w:hint="eastAsia" w:ascii="仿宋" w:hAnsi="仿宋" w:eastAsia="仿宋" w:cs="仿宋"/>
          <w:bCs/>
          <w:sz w:val="32"/>
          <w:szCs w:val="32"/>
        </w:rPr>
        <w:t>床脚配置四只单刹脚轮，脚轮直径≥125mm，单只动载载重125Kg，静载载重250 Kg，脚轮有全自由、全锁定两档功能；内置无间隙滚珠轴承，保证脚轮平衡性和稳定性；主架材料采用尼龙（PA6）承载能力强，轮面材料采用TPE,具有减震和耐磨作用；脚轮有防尘、防异物卷入装置。</w:t>
      </w:r>
      <w:bookmarkEnd w:id="16"/>
    </w:p>
    <w:p>
      <w:pPr>
        <w:pStyle w:val="27"/>
        <w:numPr>
          <w:ilvl w:val="0"/>
          <w:numId w:val="3"/>
        </w:numPr>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为减少转弯半径该病床宽轴距≤710mm，长轴距≤1410mm。为保证推动安全性主架离地高度≥330mm（含脚轮高度）。</w:t>
      </w:r>
    </w:p>
    <w:p>
      <w:pPr>
        <w:spacing w:line="360" w:lineRule="auto"/>
        <w:rPr>
          <w:rFonts w:hint="eastAsia" w:ascii="仿宋" w:hAnsi="仿宋" w:eastAsia="仿宋" w:cs="仿宋"/>
          <w:sz w:val="32"/>
          <w:szCs w:val="32"/>
        </w:rPr>
      </w:pPr>
      <w:r>
        <w:rPr>
          <w:rFonts w:hint="eastAsia" w:ascii="仿宋" w:hAnsi="仿宋" w:eastAsia="仿宋" w:cs="仿宋"/>
          <w:sz w:val="32"/>
          <w:szCs w:val="32"/>
        </w:rPr>
        <w:t>4、配置</w:t>
      </w:r>
    </w:p>
    <w:p>
      <w:pPr>
        <w:pStyle w:val="27"/>
        <w:numPr>
          <w:ilvl w:val="0"/>
          <w:numId w:val="4"/>
        </w:numPr>
        <w:snapToGrid w:val="0"/>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不锈钢升降输液架。</w:t>
      </w:r>
    </w:p>
    <w:p>
      <w:pPr>
        <w:pStyle w:val="27"/>
        <w:numPr>
          <w:ilvl w:val="0"/>
          <w:numId w:val="4"/>
        </w:numPr>
        <w:snapToGrid w:val="0"/>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杂物架。</w:t>
      </w:r>
    </w:p>
    <w:p>
      <w:pPr>
        <w:pStyle w:val="27"/>
        <w:numPr>
          <w:ilvl w:val="0"/>
          <w:numId w:val="4"/>
        </w:numPr>
        <w:snapToGrid w:val="0"/>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餐板（餐板采用工程塑料一次性吹塑成型，不带伸缩。）</w:t>
      </w:r>
    </w:p>
    <w:p>
      <w:pPr>
        <w:pStyle w:val="27"/>
        <w:numPr>
          <w:ilvl w:val="0"/>
          <w:numId w:val="4"/>
        </w:numPr>
        <w:snapToGrid w:val="0"/>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引流袋挂钩。</w:t>
      </w:r>
    </w:p>
    <w:p>
      <w:pPr>
        <w:pStyle w:val="27"/>
        <w:numPr>
          <w:ilvl w:val="0"/>
          <w:numId w:val="4"/>
        </w:numPr>
        <w:snapToGrid w:val="0"/>
        <w:spacing w:line="360" w:lineRule="auto"/>
        <w:ind w:firstLineChars="0"/>
        <w:rPr>
          <w:rFonts w:hint="eastAsia" w:ascii="仿宋" w:hAnsi="仿宋" w:eastAsia="仿宋" w:cs="仿宋"/>
          <w:sz w:val="32"/>
          <w:szCs w:val="32"/>
        </w:rPr>
      </w:pPr>
      <w:r>
        <w:rPr>
          <w:rFonts w:hint="eastAsia" w:ascii="仿宋" w:hAnsi="仿宋" w:eastAsia="仿宋" w:cs="仿宋"/>
          <w:sz w:val="32"/>
          <w:szCs w:val="32"/>
        </w:rPr>
        <w:t>床垫：1930×820×80±5mm。</w:t>
      </w:r>
      <w:r>
        <w:rPr>
          <w:rFonts w:hint="eastAsia" w:ascii="仿宋" w:hAnsi="仿宋" w:eastAsia="仿宋" w:cs="仿宋"/>
          <w:bCs/>
          <w:sz w:val="32"/>
          <w:szCs w:val="32"/>
        </w:rPr>
        <w:t>床垫与床的各段匹配，床垫由</w:t>
      </w:r>
      <w:r>
        <w:rPr>
          <w:rFonts w:hint="eastAsia" w:ascii="仿宋" w:hAnsi="仿宋" w:eastAsia="仿宋" w:cs="仿宋"/>
          <w:sz w:val="32"/>
          <w:szCs w:val="32"/>
        </w:rPr>
        <w:t>≥</w:t>
      </w:r>
      <w:r>
        <w:rPr>
          <w:rFonts w:hint="eastAsia" w:ascii="仿宋" w:hAnsi="仿宋" w:eastAsia="仿宋" w:cs="仿宋"/>
          <w:bCs/>
          <w:sz w:val="32"/>
          <w:szCs w:val="32"/>
        </w:rPr>
        <w:t>30mm椰丝垫和</w:t>
      </w:r>
      <w:r>
        <w:rPr>
          <w:rFonts w:hint="eastAsia" w:ascii="仿宋" w:hAnsi="仿宋" w:eastAsia="仿宋" w:cs="仿宋"/>
          <w:sz w:val="32"/>
          <w:szCs w:val="32"/>
        </w:rPr>
        <w:t>≥</w:t>
      </w:r>
      <w:r>
        <w:rPr>
          <w:rFonts w:hint="eastAsia" w:ascii="仿宋" w:hAnsi="仿宋" w:eastAsia="仿宋" w:cs="仿宋"/>
          <w:bCs/>
          <w:sz w:val="32"/>
          <w:szCs w:val="32"/>
        </w:rPr>
        <w:t>50mm高弹海绵制作，外套防水帆布，带透气孔。</w:t>
      </w:r>
    </w:p>
    <w:p>
      <w:pPr>
        <w:pStyle w:val="17"/>
        <w:ind w:left="0" w:leftChars="0" w:firstLine="640" w:firstLineChars="200"/>
        <w:rPr>
          <w:rFonts w:hint="eastAsia" w:ascii="宋体" w:hAnsi="宋体" w:eastAsia="宋体" w:cs="宋体"/>
          <w:color w:val="FF0000"/>
          <w:kern w:val="0"/>
          <w:sz w:val="24"/>
          <w:szCs w:val="24"/>
          <w:lang w:val="en-US" w:eastAsia="zh-CN"/>
        </w:rPr>
      </w:pPr>
      <w:r>
        <w:rPr>
          <w:rFonts w:hint="eastAsia" w:ascii="仿宋" w:hAnsi="仿宋" w:eastAsia="仿宋" w:cs="仿宋"/>
          <w:sz w:val="32"/>
          <w:szCs w:val="32"/>
        </w:rPr>
        <w:t>注：带“▲”号条款为允许负偏离的参数需求，若未响应或者不满足，将在综合评审中予以扣分处理。</w:t>
      </w:r>
    </w:p>
    <w:p>
      <w:pPr>
        <w:pStyle w:val="16"/>
        <w:numPr>
          <w:ilvl w:val="0"/>
          <w:numId w:val="0"/>
        </w:numPr>
        <w:spacing w:line="240" w:lineRule="auto"/>
        <w:ind w:leftChars="0" w:firstLine="640" w:firstLineChars="200"/>
        <w:rPr>
          <w:rFonts w:hint="eastAsia" w:ascii="仿宋" w:hAnsi="仿宋" w:eastAsia="仿宋" w:cs="仿宋"/>
          <w:sz w:val="32"/>
          <w:szCs w:val="32"/>
          <w:lang w:val="en-US" w:eastAsia="zh-CN"/>
        </w:rPr>
      </w:pPr>
    </w:p>
    <w:p>
      <w:pPr>
        <w:pStyle w:val="16"/>
        <w:numPr>
          <w:ilvl w:val="0"/>
          <w:numId w:val="0"/>
        </w:numPr>
        <w:spacing w:line="240" w:lineRule="auto"/>
        <w:ind w:leftChars="0"/>
        <w:rPr>
          <w:rFonts w:hint="eastAsia" w:ascii="仿宋" w:hAnsi="仿宋" w:eastAsia="仿宋" w:cs="仿宋"/>
          <w:sz w:val="32"/>
          <w:szCs w:val="32"/>
          <w:lang w:val="en-US" w:eastAsia="zh-CN"/>
        </w:rPr>
      </w:pPr>
    </w:p>
    <w:p>
      <w:pPr>
        <w:pStyle w:val="16"/>
        <w:numPr>
          <w:ilvl w:val="0"/>
          <w:numId w:val="0"/>
        </w:numPr>
        <w:spacing w:line="240" w:lineRule="auto"/>
        <w:ind w:leftChars="0"/>
        <w:rPr>
          <w:rFonts w:hint="eastAsia" w:ascii="仿宋" w:hAnsi="仿宋" w:eastAsia="仿宋" w:cs="仿宋"/>
          <w:sz w:val="32"/>
          <w:szCs w:val="32"/>
          <w:lang w:val="en-US" w:eastAsia="zh-CN"/>
        </w:rPr>
      </w:pPr>
    </w:p>
    <w:p>
      <w:pPr>
        <w:pStyle w:val="16"/>
        <w:numPr>
          <w:ilvl w:val="0"/>
          <w:numId w:val="0"/>
        </w:numPr>
        <w:spacing w:line="240" w:lineRule="auto"/>
        <w:ind w:leftChars="0"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商务要求：（实质性要求不允许负偏离）：</w:t>
      </w:r>
    </w:p>
    <w:p>
      <w:pPr>
        <w:pStyle w:val="16"/>
        <w:numPr>
          <w:ilvl w:val="0"/>
          <w:numId w:val="5"/>
        </w:numPr>
        <w:spacing w:line="240" w:lineRule="auto"/>
        <w:ind w:left="210" w:leftChars="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响应时间：自提出采购需求后10天内供货</w:t>
      </w:r>
      <w:r>
        <w:rPr>
          <w:rFonts w:hint="eastAsia" w:ascii="仿宋" w:hAnsi="仿宋" w:eastAsia="仿宋" w:cs="仿宋"/>
          <w:color w:val="auto"/>
          <w:sz w:val="32"/>
          <w:szCs w:val="32"/>
          <w:lang w:val="en-US" w:eastAsia="zh-CN"/>
        </w:rPr>
        <w:t>（因采购人原因响应时间可顺延）。</w:t>
      </w:r>
    </w:p>
    <w:p>
      <w:pPr>
        <w:pStyle w:val="16"/>
        <w:numPr>
          <w:ilvl w:val="0"/>
          <w:numId w:val="5"/>
        </w:numPr>
        <w:spacing w:line="240" w:lineRule="auto"/>
        <w:ind w:left="210" w:leftChars="0" w:firstLineChars="0"/>
        <w:rPr>
          <w:rFonts w:hint="eastAsia" w:ascii="宋体" w:hAnsi="宋体" w:eastAsia="宋体" w:cs="宋体"/>
          <w:color w:val="555555"/>
          <w:kern w:val="0"/>
          <w:sz w:val="24"/>
          <w:szCs w:val="24"/>
          <w:lang w:val="en-US" w:eastAsia="zh-CN"/>
        </w:rPr>
      </w:pPr>
      <w:r>
        <w:rPr>
          <w:rFonts w:hint="eastAsia" w:ascii="仿宋" w:hAnsi="仿宋" w:eastAsia="仿宋" w:cs="仿宋"/>
          <w:sz w:val="32"/>
          <w:szCs w:val="32"/>
          <w:lang w:val="en-US" w:eastAsia="zh-CN"/>
        </w:rPr>
        <w:t>服务要求：医疗器械供应商须符合《医疗器械监督管理条例》要求并具有独立履行民事责任的主体资格、遵守国家法律法规，具有良好的信誉和诚实的商业道德、具有履行合同的能力</w:t>
      </w:r>
      <w:r>
        <w:rPr>
          <w:rFonts w:hint="eastAsia" w:ascii="仿宋" w:hAnsi="仿宋" w:eastAsia="仿宋" w:cs="仿宋"/>
          <w:color w:val="auto"/>
          <w:sz w:val="32"/>
          <w:szCs w:val="32"/>
          <w:lang w:val="en-US" w:eastAsia="zh-CN"/>
        </w:rPr>
        <w:t>。</w:t>
      </w:r>
    </w:p>
    <w:p>
      <w:pPr>
        <w:pStyle w:val="16"/>
        <w:numPr>
          <w:ilvl w:val="0"/>
          <w:numId w:val="5"/>
        </w:numPr>
        <w:spacing w:line="240" w:lineRule="auto"/>
        <w:ind w:left="210" w:leftChars="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履约要求：出现故障，供应商在10分钟内应作出实质性响应，如远程4小时内无法解决，派合格的维修工程师24小时内到达现场进行维护。</w:t>
      </w:r>
    </w:p>
    <w:p>
      <w:pPr>
        <w:pStyle w:val="16"/>
        <w:numPr>
          <w:ilvl w:val="0"/>
          <w:numId w:val="5"/>
        </w:numPr>
        <w:spacing w:line="240" w:lineRule="auto"/>
        <w:ind w:left="210" w:leftChars="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付款方式：验收并收到票据260日内支付。</w:t>
      </w:r>
    </w:p>
    <w:p>
      <w:pPr>
        <w:pStyle w:val="16"/>
        <w:numPr>
          <w:ilvl w:val="0"/>
          <w:numId w:val="5"/>
        </w:numPr>
        <w:spacing w:line="240" w:lineRule="auto"/>
        <w:ind w:left="210" w:leftChars="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质量要求：供应商提供的医疗器械须符合《医疗器械注册管理办法》要求。</w:t>
      </w:r>
    </w:p>
    <w:p>
      <w:pPr>
        <w:pStyle w:val="16"/>
        <w:numPr>
          <w:ilvl w:val="0"/>
          <w:numId w:val="5"/>
        </w:numPr>
        <w:spacing w:line="240" w:lineRule="auto"/>
        <w:ind w:left="210" w:leftChars="0" w:firstLineChars="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违约责任及解决争议的方法：合同履行期间，若双方发生争议，可协商或由有关部门协调解决，协商或协调不成功的，双方均可向五通桥区人民法院提起诉讼依法维护其合法权益。</w:t>
      </w:r>
    </w:p>
    <w:p>
      <w:pPr>
        <w:rPr>
          <w:rFonts w:hint="eastAsia" w:ascii="黑体" w:hAnsi="黑体" w:eastAsia="黑体" w:cs="黑体"/>
          <w:lang w:eastAsia="zh-CN"/>
        </w:rPr>
      </w:pPr>
    </w:p>
    <w:p>
      <w:pPr>
        <w:pStyle w:val="3"/>
        <w:rPr>
          <w:rFonts w:hint="eastAsia" w:ascii="黑体" w:hAnsi="黑体" w:eastAsia="黑体" w:cs="黑体"/>
          <w:lang w:eastAsia="zh-CN"/>
        </w:rPr>
      </w:pPr>
    </w:p>
    <w:p>
      <w:pPr>
        <w:rPr>
          <w:rFonts w:hint="eastAsia" w:ascii="黑体" w:hAnsi="黑体" w:eastAsia="黑体" w:cs="黑体"/>
          <w:lang w:eastAsia="zh-CN"/>
        </w:rPr>
      </w:pPr>
      <w:r>
        <w:rPr>
          <w:rFonts w:hint="eastAsia" w:ascii="黑体" w:hAnsi="黑体" w:eastAsia="黑体" w:cs="黑体"/>
          <w:lang w:eastAsia="zh-CN"/>
        </w:rPr>
        <w:br w:type="page"/>
      </w:r>
    </w:p>
    <w:p>
      <w:pPr>
        <w:pStyle w:val="5"/>
        <w:rPr>
          <w:rFonts w:hint="eastAsia" w:ascii="黑体" w:hAnsi="黑体" w:eastAsia="黑体" w:cs="黑体"/>
          <w:lang w:eastAsia="zh-CN"/>
        </w:rPr>
      </w:pPr>
      <w:r>
        <w:rPr>
          <w:rFonts w:hint="eastAsia" w:ascii="黑体" w:hAnsi="黑体" w:eastAsia="黑体" w:cs="黑体"/>
          <w:sz w:val="32"/>
          <w:szCs w:val="40"/>
          <w:lang w:eastAsia="zh-CN"/>
        </w:rPr>
        <w:t>评分标准</w:t>
      </w:r>
      <w:r>
        <w:rPr>
          <w:rFonts w:hint="eastAsia" w:ascii="黑体" w:hAnsi="黑体" w:eastAsia="黑体" w:cs="黑体"/>
          <w:lang w:eastAsia="zh-CN"/>
        </w:rPr>
        <w:t>：</w:t>
      </w:r>
    </w:p>
    <w:tbl>
      <w:tblPr>
        <w:tblStyle w:val="18"/>
        <w:tblW w:w="9958" w:type="dxa"/>
        <w:jc w:val="center"/>
        <w:tblLayout w:type="fixed"/>
        <w:tblCellMar>
          <w:top w:w="0" w:type="dxa"/>
          <w:left w:w="108" w:type="dxa"/>
          <w:bottom w:w="0" w:type="dxa"/>
          <w:right w:w="108" w:type="dxa"/>
        </w:tblCellMar>
      </w:tblPr>
      <w:tblGrid>
        <w:gridCol w:w="579"/>
        <w:gridCol w:w="1183"/>
        <w:gridCol w:w="700"/>
        <w:gridCol w:w="6510"/>
        <w:gridCol w:w="986"/>
      </w:tblGrid>
      <w:tr>
        <w:tblPrEx>
          <w:tblCellMar>
            <w:top w:w="0" w:type="dxa"/>
            <w:left w:w="108" w:type="dxa"/>
            <w:bottom w:w="0" w:type="dxa"/>
            <w:right w:w="108" w:type="dxa"/>
          </w:tblCellMar>
        </w:tblPrEx>
        <w:trPr>
          <w:cantSplit/>
          <w:trHeight w:val="1006"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序号</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评分因素</w:t>
            </w:r>
          </w:p>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及权重</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分值</w:t>
            </w:r>
          </w:p>
        </w:tc>
        <w:tc>
          <w:tcPr>
            <w:tcW w:w="6510"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评分标准</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b/>
                <w:kern w:val="1"/>
                <w:sz w:val="32"/>
                <w:szCs w:val="32"/>
              </w:rPr>
            </w:pPr>
            <w:r>
              <w:rPr>
                <w:rFonts w:hint="eastAsia" w:ascii="仿宋" w:hAnsi="仿宋" w:eastAsia="仿宋" w:cs="仿宋"/>
                <w:b/>
                <w:kern w:val="1"/>
                <w:sz w:val="32"/>
                <w:szCs w:val="32"/>
              </w:rPr>
              <w:t>说 明</w:t>
            </w:r>
          </w:p>
        </w:tc>
      </w:tr>
      <w:tr>
        <w:tblPrEx>
          <w:tblCellMar>
            <w:top w:w="0" w:type="dxa"/>
            <w:left w:w="108" w:type="dxa"/>
            <w:bottom w:w="0" w:type="dxa"/>
            <w:right w:w="108" w:type="dxa"/>
          </w:tblCellMar>
        </w:tblPrEx>
        <w:trPr>
          <w:trHeight w:val="1836"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rPr>
              <w:t>1</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rPr>
              <w:t>报价</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30</w:t>
            </w:r>
          </w:p>
        </w:tc>
        <w:tc>
          <w:tcPr>
            <w:tcW w:w="65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满足招标文件要求且投标价格最低的投标报价为评标基准价，其价格分为满分。其他供应商的价格分统一按照下列公式计算：投标报价得分=(评标基准价÷投标报价)×30%×100。</w:t>
            </w:r>
          </w:p>
          <w:p>
            <w:pPr>
              <w:rPr>
                <w:rFonts w:hint="eastAsia" w:ascii="仿宋" w:hAnsi="仿宋" w:eastAsia="仿宋" w:cs="仿宋"/>
                <w:kern w:val="1"/>
                <w:sz w:val="32"/>
                <w:szCs w:val="32"/>
                <w:lang w:val="en-US" w:eastAsia="zh-CN"/>
              </w:rPr>
            </w:pPr>
          </w:p>
        </w:tc>
        <w:tc>
          <w:tcPr>
            <w:tcW w:w="986"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rPr>
            </w:pPr>
            <w:r>
              <w:rPr>
                <w:rFonts w:hint="eastAsia" w:ascii="仿宋" w:hAnsi="仿宋" w:eastAsia="仿宋" w:cs="仿宋"/>
                <w:sz w:val="32"/>
                <w:szCs w:val="32"/>
              </w:rPr>
              <w:t>共同评审因素</w:t>
            </w:r>
          </w:p>
        </w:tc>
      </w:tr>
      <w:tr>
        <w:tblPrEx>
          <w:tblCellMar>
            <w:top w:w="0" w:type="dxa"/>
            <w:left w:w="108" w:type="dxa"/>
            <w:bottom w:w="0" w:type="dxa"/>
            <w:right w:w="108" w:type="dxa"/>
          </w:tblCellMar>
        </w:tblPrEx>
        <w:trPr>
          <w:trHeight w:val="4096"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rPr>
              <w:t>2</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lang w:eastAsia="zh-CN"/>
              </w:rPr>
              <w:t>技术要求</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both"/>
              <w:rPr>
                <w:rFonts w:hint="default"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48</w:t>
            </w:r>
          </w:p>
        </w:tc>
        <w:tc>
          <w:tcPr>
            <w:tcW w:w="65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32"/>
                <w:szCs w:val="32"/>
                <w:lang w:val="en-US" w:eastAsia="zh-CN"/>
              </w:rPr>
            </w:pPr>
            <w:r>
              <w:rPr>
                <w:rFonts w:hint="eastAsia" w:ascii="仿宋" w:hAnsi="仿宋" w:eastAsia="仿宋" w:cs="仿宋"/>
                <w:kern w:val="1"/>
                <w:sz w:val="32"/>
                <w:szCs w:val="32"/>
                <w:lang w:val="en-US" w:eastAsia="zh-CN"/>
              </w:rPr>
              <w:t>1.投标人针对招标文件第五章“技术参数、服务内容要求”中不带“▲”条款为一般参数条款，一般参数条款的响应得分规则如下： 一般参数条款完全响应文件要求没有负偏离的得30分，有一项负偏离的扣2分，扣完为止。  2.投标人针对招标文件第五章“技术参数、服务内容要求”中带“▲”条款为重要参数条款，重要参数条款的响应得分规则如下：重要参数条款完全响应文件要求没有负偏离的得18分，有一项负偏离的扣3分，扣完为止。</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rPr>
            </w:pPr>
            <w:r>
              <w:rPr>
                <w:rFonts w:hint="eastAsia" w:ascii="仿宋" w:hAnsi="仿宋" w:eastAsia="仿宋" w:cs="仿宋"/>
                <w:sz w:val="32"/>
                <w:szCs w:val="32"/>
              </w:rPr>
              <w:t>技术类评审因素</w:t>
            </w:r>
          </w:p>
        </w:tc>
      </w:tr>
      <w:tr>
        <w:tblPrEx>
          <w:tblCellMar>
            <w:top w:w="0" w:type="dxa"/>
            <w:left w:w="108" w:type="dxa"/>
            <w:bottom w:w="0" w:type="dxa"/>
            <w:right w:w="108" w:type="dxa"/>
          </w:tblCellMar>
        </w:tblPrEx>
        <w:trPr>
          <w:trHeight w:val="3107"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kern w:val="1"/>
                <w:sz w:val="32"/>
                <w:szCs w:val="32"/>
              </w:rPr>
            </w:pPr>
            <w:r>
              <w:rPr>
                <w:rFonts w:hint="eastAsia" w:ascii="仿宋" w:hAnsi="仿宋" w:eastAsia="仿宋" w:cs="仿宋"/>
                <w:kern w:val="1"/>
                <w:sz w:val="32"/>
                <w:szCs w:val="32"/>
              </w:rPr>
              <w:t>3</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rPr>
            </w:pPr>
          </w:p>
          <w:p>
            <w:pPr>
              <w:spacing w:line="320" w:lineRule="atLeast"/>
              <w:jc w:val="center"/>
              <w:rPr>
                <w:rFonts w:hint="eastAsia" w:ascii="仿宋" w:hAnsi="仿宋" w:eastAsia="仿宋" w:cs="仿宋"/>
                <w:kern w:val="1"/>
                <w:sz w:val="32"/>
                <w:szCs w:val="32"/>
                <w:lang w:val="en-US" w:eastAsia="zh-CN"/>
              </w:rPr>
            </w:pPr>
            <w:r>
              <w:rPr>
                <w:rFonts w:hint="eastAsia" w:ascii="仿宋" w:hAnsi="仿宋" w:eastAsia="仿宋" w:cs="仿宋"/>
                <w:sz w:val="32"/>
                <w:szCs w:val="32"/>
              </w:rPr>
              <w:t>服务</w:t>
            </w:r>
            <w:r>
              <w:rPr>
                <w:rFonts w:hint="eastAsia" w:ascii="仿宋" w:hAnsi="仿宋" w:eastAsia="仿宋" w:cs="仿宋"/>
                <w:kern w:val="1"/>
                <w:sz w:val="32"/>
                <w:szCs w:val="32"/>
                <w:lang w:val="en-US" w:eastAsia="zh-CN"/>
              </w:rPr>
              <w:t>方案</w:t>
            </w:r>
          </w:p>
          <w:p>
            <w:pPr>
              <w:spacing w:line="320" w:lineRule="atLeast"/>
              <w:jc w:val="center"/>
              <w:rPr>
                <w:rFonts w:hint="eastAsia" w:ascii="仿宋" w:hAnsi="仿宋" w:eastAsia="仿宋" w:cs="仿宋"/>
                <w:sz w:val="32"/>
                <w:szCs w:val="32"/>
              </w:rPr>
            </w:pPr>
          </w:p>
        </w:tc>
        <w:tc>
          <w:tcPr>
            <w:tcW w:w="700" w:type="dxa"/>
            <w:tcBorders>
              <w:top w:val="single" w:color="000000" w:sz="4" w:space="0"/>
              <w:left w:val="single" w:color="000000" w:sz="4" w:space="0"/>
              <w:bottom w:val="single" w:color="000000" w:sz="4" w:space="0"/>
              <w:right w:val="single" w:color="000000" w:sz="4" w:space="0"/>
            </w:tcBorders>
            <w:noWrap/>
            <w:vAlign w:val="center"/>
          </w:tcPr>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10</w:t>
            </w:r>
          </w:p>
        </w:tc>
        <w:tc>
          <w:tcPr>
            <w:tcW w:w="651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 w:hAnsi="仿宋" w:eastAsia="仿宋" w:cs="仿宋"/>
                <w:sz w:val="32"/>
                <w:szCs w:val="32"/>
                <w:lang w:val="en-US" w:eastAsia="zh-CN"/>
              </w:rPr>
            </w:pPr>
            <w:r>
              <w:rPr>
                <w:rFonts w:hint="eastAsia" w:ascii="仿宋" w:hAnsi="仿宋" w:eastAsia="仿宋" w:cs="仿宋"/>
                <w:kern w:val="1"/>
                <w:sz w:val="32"/>
                <w:szCs w:val="32"/>
                <w:lang w:val="en-US" w:eastAsia="zh-CN"/>
              </w:rPr>
              <w:t xml:space="preserve">根据供应商提供的项目实施方案，包括但不限于： ①供货方案； ②包装、配送方案； ③现场的安全、环境保障措施；④质量保障措施； ⑤项目进度保证措施；以上方案完整、科学合理完全满足采购需求得10分，每有一个方面内容缺失的扣2分，每有一个方面内容不完全满足要求的扣2分；直至本项分值扣完为止。 </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rPr>
            </w:pPr>
            <w:r>
              <w:rPr>
                <w:rFonts w:hint="eastAsia" w:ascii="仿宋" w:hAnsi="仿宋" w:eastAsia="仿宋" w:cs="仿宋"/>
                <w:sz w:val="32"/>
                <w:szCs w:val="32"/>
              </w:rPr>
              <w:t>技术类评审因素</w:t>
            </w:r>
          </w:p>
        </w:tc>
      </w:tr>
      <w:tr>
        <w:tblPrEx>
          <w:tblCellMar>
            <w:top w:w="0" w:type="dxa"/>
            <w:left w:w="108" w:type="dxa"/>
            <w:bottom w:w="0" w:type="dxa"/>
            <w:right w:w="108" w:type="dxa"/>
          </w:tblCellMar>
        </w:tblPrEx>
        <w:trPr>
          <w:trHeight w:val="1675" w:hRule="atLeast"/>
          <w:jc w:val="center"/>
        </w:trPr>
        <w:tc>
          <w:tcPr>
            <w:tcW w:w="579"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p>
        </w:tc>
        <w:tc>
          <w:tcPr>
            <w:tcW w:w="1183" w:type="dxa"/>
            <w:tcBorders>
              <w:top w:val="single" w:color="000000" w:sz="4" w:space="0"/>
              <w:left w:val="single" w:color="000000" w:sz="4" w:space="0"/>
              <w:bottom w:val="single" w:color="000000" w:sz="4" w:space="0"/>
              <w:right w:val="single" w:color="000000" w:sz="4" w:space="0"/>
            </w:tcBorders>
            <w:noWrap/>
            <w:vAlign w:val="center"/>
          </w:tcPr>
          <w:p>
            <w:pPr>
              <w:widowControl/>
              <w:spacing w:line="320" w:lineRule="atLeast"/>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售后方案</w:t>
            </w:r>
          </w:p>
        </w:tc>
        <w:tc>
          <w:tcPr>
            <w:tcW w:w="700"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both"/>
              <w:rPr>
                <w:rFonts w:hint="default" w:ascii="仿宋" w:hAnsi="仿宋" w:eastAsia="仿宋" w:cs="仿宋"/>
                <w:kern w:val="1"/>
                <w:sz w:val="32"/>
                <w:szCs w:val="32"/>
                <w:lang w:val="en-US" w:eastAsia="zh-CN"/>
              </w:rPr>
            </w:pPr>
            <w:r>
              <w:rPr>
                <w:rFonts w:hint="eastAsia" w:ascii="仿宋" w:hAnsi="仿宋" w:eastAsia="仿宋" w:cs="仿宋"/>
                <w:kern w:val="1"/>
                <w:sz w:val="32"/>
                <w:szCs w:val="32"/>
                <w:lang w:val="en-US" w:eastAsia="zh-CN"/>
              </w:rPr>
              <w:t>12</w:t>
            </w:r>
          </w:p>
        </w:tc>
        <w:tc>
          <w:tcPr>
            <w:tcW w:w="6510"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left"/>
              <w:rPr>
                <w:rFonts w:hint="eastAsia" w:ascii="仿宋" w:hAnsi="仿宋" w:eastAsia="仿宋" w:cs="仿宋"/>
                <w:sz w:val="32"/>
                <w:szCs w:val="32"/>
                <w:lang w:val="en-US" w:eastAsia="zh-CN"/>
              </w:rPr>
            </w:pPr>
            <w:r>
              <w:rPr>
                <w:rFonts w:hint="eastAsia" w:ascii="仿宋" w:hAnsi="仿宋" w:eastAsia="仿宋" w:cs="仿宋"/>
                <w:kern w:val="1"/>
                <w:sz w:val="32"/>
                <w:szCs w:val="32"/>
                <w:lang w:val="en-US" w:eastAsia="zh-CN"/>
              </w:rPr>
              <w:t>根据供应商提供的项目售后服务方案，包括但不限于： ①售后服务保障措施； ②售后服务呼叫电话及响应时间； ③售后服务范围； ④售后服务人员配置； 以上方案完整、科学合理完全满足采购需求得12分，每有一个方面内容缺失的扣3分，每有一个方面内容不完全满足要求的扣3分；直至本项分值扣完为止。</w:t>
            </w:r>
          </w:p>
        </w:tc>
        <w:tc>
          <w:tcPr>
            <w:tcW w:w="986" w:type="dxa"/>
            <w:tcBorders>
              <w:top w:val="single" w:color="000000" w:sz="4" w:space="0"/>
              <w:left w:val="single" w:color="000000" w:sz="4" w:space="0"/>
              <w:bottom w:val="single" w:color="000000" w:sz="4" w:space="0"/>
              <w:right w:val="single" w:color="000000" w:sz="4" w:space="0"/>
            </w:tcBorders>
            <w:noWrap/>
            <w:vAlign w:val="center"/>
          </w:tcPr>
          <w:p>
            <w:pPr>
              <w:spacing w:line="320" w:lineRule="atLeast"/>
              <w:jc w:val="center"/>
              <w:rPr>
                <w:rFonts w:hint="eastAsia" w:ascii="仿宋" w:hAnsi="仿宋" w:eastAsia="仿宋" w:cs="仿宋"/>
                <w:sz w:val="32"/>
                <w:szCs w:val="32"/>
              </w:rPr>
            </w:pPr>
            <w:r>
              <w:rPr>
                <w:rFonts w:hint="eastAsia" w:ascii="仿宋" w:hAnsi="仿宋" w:eastAsia="仿宋" w:cs="仿宋"/>
                <w:sz w:val="32"/>
                <w:szCs w:val="32"/>
              </w:rPr>
              <w:t>技术类评审因素</w:t>
            </w:r>
          </w:p>
        </w:tc>
      </w:tr>
    </w:tbl>
    <w:p>
      <w:pPr>
        <w:rPr>
          <w:rFonts w:hint="eastAsia" w:ascii="黑体" w:hAnsi="黑体" w:eastAsia="黑体" w:cs="黑体"/>
          <w:lang w:eastAsia="zh-CN"/>
        </w:rPr>
      </w:pPr>
    </w:p>
    <w:sectPr>
      <w:headerReference r:id="rId4" w:type="first"/>
      <w:footerReference r:id="rId6" w:type="first"/>
      <w:headerReference r:id="rId3" w:type="default"/>
      <w:footerReference r:id="rId5" w:type="default"/>
      <w:pgSz w:w="11906" w:h="16838"/>
      <w:pgMar w:top="1134" w:right="850" w:bottom="907" w:left="1134" w:header="850" w:footer="992" w:gutter="0"/>
      <w:pgBorders>
        <w:top w:val="none" w:sz="0" w:space="0"/>
        <w:left w:val="none" w:sz="0" w:space="0"/>
        <w:bottom w:val="none" w:sz="0" w:space="0"/>
        <w:right w:val="none" w:sz="0" w:space="0"/>
      </w:pgBorders>
      <w:pgNumType w:fmt="decimal"/>
      <w:cols w:space="0" w:num="1"/>
      <w:titlePg/>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both"/>
      <w:rPr>
        <w:rFonts w:hint="eastAsia" w:eastAsiaTheme="minor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B0FD13"/>
    <w:multiLevelType w:val="singleLevel"/>
    <w:tmpl w:val="C0B0FD13"/>
    <w:lvl w:ilvl="0" w:tentative="0">
      <w:start w:val="4"/>
      <w:numFmt w:val="chineseCounting"/>
      <w:suff w:val="space"/>
      <w:lvlText w:val="第%1章"/>
      <w:lvlJc w:val="left"/>
      <w:rPr>
        <w:rFonts w:hint="eastAsia"/>
      </w:rPr>
    </w:lvl>
  </w:abstractNum>
  <w:abstractNum w:abstractNumId="1">
    <w:nsid w:val="07DF2754"/>
    <w:multiLevelType w:val="multilevel"/>
    <w:tmpl w:val="07DF2754"/>
    <w:lvl w:ilvl="0" w:tentative="0">
      <w:start w:val="1"/>
      <w:numFmt w:val="decimal"/>
      <w:lvlText w:val="%1)"/>
      <w:lvlJc w:val="left"/>
      <w:pPr>
        <w:ind w:left="630" w:hanging="420"/>
      </w:pPr>
      <w:rPr>
        <w:rFonts w:hint="default"/>
        <w:color w:val="auto"/>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2">
    <w:nsid w:val="1D6A547E"/>
    <w:multiLevelType w:val="singleLevel"/>
    <w:tmpl w:val="1D6A547E"/>
    <w:lvl w:ilvl="0" w:tentative="0">
      <w:start w:val="1"/>
      <w:numFmt w:val="decimal"/>
      <w:suff w:val="nothing"/>
      <w:lvlText w:val="%1、"/>
      <w:lvlJc w:val="left"/>
      <w:pPr>
        <w:ind w:left="210"/>
      </w:pPr>
    </w:lvl>
  </w:abstractNum>
  <w:abstractNum w:abstractNumId="3">
    <w:nsid w:val="41B02F1A"/>
    <w:multiLevelType w:val="multilevel"/>
    <w:tmpl w:val="41B02F1A"/>
    <w:lvl w:ilvl="0" w:tentative="0">
      <w:start w:val="1"/>
      <w:numFmt w:val="decimal"/>
      <w:lvlText w:val="%1)"/>
      <w:lvlJc w:val="left"/>
      <w:pPr>
        <w:ind w:left="703" w:hanging="420"/>
      </w:pPr>
    </w:lvl>
    <w:lvl w:ilvl="1" w:tentative="0">
      <w:start w:val="1"/>
      <w:numFmt w:val="lowerLetter"/>
      <w:lvlText w:val="%2)"/>
      <w:lvlJc w:val="left"/>
      <w:pPr>
        <w:ind w:left="1123" w:hanging="420"/>
      </w:pPr>
    </w:lvl>
    <w:lvl w:ilvl="2" w:tentative="0">
      <w:start w:val="1"/>
      <w:numFmt w:val="lowerRoman"/>
      <w:lvlText w:val="%3."/>
      <w:lvlJc w:val="right"/>
      <w:pPr>
        <w:ind w:left="1543" w:hanging="420"/>
      </w:pPr>
    </w:lvl>
    <w:lvl w:ilvl="3" w:tentative="0">
      <w:start w:val="1"/>
      <w:numFmt w:val="decimal"/>
      <w:lvlText w:val="%4."/>
      <w:lvlJc w:val="left"/>
      <w:pPr>
        <w:ind w:left="1963" w:hanging="420"/>
      </w:pPr>
    </w:lvl>
    <w:lvl w:ilvl="4" w:tentative="0">
      <w:start w:val="1"/>
      <w:numFmt w:val="lowerLetter"/>
      <w:lvlText w:val="%5)"/>
      <w:lvlJc w:val="left"/>
      <w:pPr>
        <w:ind w:left="2383" w:hanging="420"/>
      </w:pPr>
    </w:lvl>
    <w:lvl w:ilvl="5" w:tentative="0">
      <w:start w:val="1"/>
      <w:numFmt w:val="lowerRoman"/>
      <w:lvlText w:val="%6."/>
      <w:lvlJc w:val="right"/>
      <w:pPr>
        <w:ind w:left="2803" w:hanging="420"/>
      </w:pPr>
    </w:lvl>
    <w:lvl w:ilvl="6" w:tentative="0">
      <w:start w:val="1"/>
      <w:numFmt w:val="decimal"/>
      <w:lvlText w:val="%7."/>
      <w:lvlJc w:val="left"/>
      <w:pPr>
        <w:ind w:left="3223" w:hanging="420"/>
      </w:pPr>
    </w:lvl>
    <w:lvl w:ilvl="7" w:tentative="0">
      <w:start w:val="1"/>
      <w:numFmt w:val="lowerLetter"/>
      <w:lvlText w:val="%8)"/>
      <w:lvlJc w:val="left"/>
      <w:pPr>
        <w:ind w:left="3643" w:hanging="420"/>
      </w:pPr>
    </w:lvl>
    <w:lvl w:ilvl="8" w:tentative="0">
      <w:start w:val="1"/>
      <w:numFmt w:val="lowerRoman"/>
      <w:lvlText w:val="%9."/>
      <w:lvlJc w:val="right"/>
      <w:pPr>
        <w:ind w:left="4063" w:hanging="420"/>
      </w:pPr>
    </w:lvl>
  </w:abstractNum>
  <w:abstractNum w:abstractNumId="4">
    <w:nsid w:val="63297865"/>
    <w:multiLevelType w:val="multilevel"/>
    <w:tmpl w:val="63297865"/>
    <w:lvl w:ilvl="0" w:tentative="0">
      <w:start w:val="1"/>
      <w:numFmt w:val="decimal"/>
      <w:lvlText w:val="%1）"/>
      <w:lvlJc w:val="left"/>
      <w:pPr>
        <w:ind w:left="1200" w:hanging="360"/>
      </w:pPr>
      <w:rPr>
        <w:rFonts w:ascii="宋体" w:hAnsi="宋体" w:eastAsia="宋体" w:cs="Times New Roman"/>
      </w:rPr>
    </w:lvl>
    <w:lvl w:ilvl="1" w:tentative="0">
      <w:start w:val="1"/>
      <w:numFmt w:val="lowerLetter"/>
      <w:lvlText w:val="%2)"/>
      <w:lvlJc w:val="left"/>
      <w:pPr>
        <w:ind w:left="1713" w:hanging="420"/>
      </w:pPr>
    </w:lvl>
    <w:lvl w:ilvl="2" w:tentative="0">
      <w:start w:val="1"/>
      <w:numFmt w:val="lowerRoman"/>
      <w:lvlText w:val="%3."/>
      <w:lvlJc w:val="right"/>
      <w:pPr>
        <w:ind w:left="2133" w:hanging="420"/>
      </w:pPr>
    </w:lvl>
    <w:lvl w:ilvl="3" w:tentative="0">
      <w:start w:val="1"/>
      <w:numFmt w:val="decimal"/>
      <w:lvlText w:val="%4."/>
      <w:lvlJc w:val="left"/>
      <w:pPr>
        <w:ind w:left="1260" w:hanging="420"/>
      </w:pPr>
    </w:lvl>
    <w:lvl w:ilvl="4" w:tentative="0">
      <w:start w:val="1"/>
      <w:numFmt w:val="lowerLetter"/>
      <w:lvlText w:val="%5)"/>
      <w:lvlJc w:val="left"/>
      <w:pPr>
        <w:ind w:left="2973" w:hanging="420"/>
      </w:pPr>
    </w:lvl>
    <w:lvl w:ilvl="5" w:tentative="0">
      <w:start w:val="1"/>
      <w:numFmt w:val="lowerRoman"/>
      <w:lvlText w:val="%6."/>
      <w:lvlJc w:val="right"/>
      <w:pPr>
        <w:ind w:left="3393" w:hanging="420"/>
      </w:pPr>
    </w:lvl>
    <w:lvl w:ilvl="6" w:tentative="0">
      <w:start w:val="1"/>
      <w:numFmt w:val="decimal"/>
      <w:lvlText w:val="%7."/>
      <w:lvlJc w:val="left"/>
      <w:pPr>
        <w:ind w:left="3813" w:hanging="420"/>
      </w:pPr>
    </w:lvl>
    <w:lvl w:ilvl="7" w:tentative="0">
      <w:start w:val="1"/>
      <w:numFmt w:val="lowerLetter"/>
      <w:lvlText w:val="%8)"/>
      <w:lvlJc w:val="left"/>
      <w:pPr>
        <w:ind w:left="4233" w:hanging="420"/>
      </w:pPr>
    </w:lvl>
    <w:lvl w:ilvl="8" w:tentative="0">
      <w:start w:val="1"/>
      <w:numFmt w:val="lowerRoman"/>
      <w:lvlText w:val="%9."/>
      <w:lvlJc w:val="right"/>
      <w:pPr>
        <w:ind w:left="4653" w:hanging="42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mZmFmMGFkNTkxMTc3Y2Q4ODdmNWVhNTFmYjU5MjcifQ=="/>
  </w:docVars>
  <w:rsids>
    <w:rsidRoot w:val="20B86F62"/>
    <w:rsid w:val="00FE51BA"/>
    <w:rsid w:val="01724615"/>
    <w:rsid w:val="01AC44D5"/>
    <w:rsid w:val="01DA1F83"/>
    <w:rsid w:val="02653FAC"/>
    <w:rsid w:val="02E24CF0"/>
    <w:rsid w:val="038264FB"/>
    <w:rsid w:val="03E45948"/>
    <w:rsid w:val="03EB6F22"/>
    <w:rsid w:val="047A7398"/>
    <w:rsid w:val="04976AF6"/>
    <w:rsid w:val="05813897"/>
    <w:rsid w:val="05B93485"/>
    <w:rsid w:val="05DD44EC"/>
    <w:rsid w:val="05FA4A68"/>
    <w:rsid w:val="06C83EF1"/>
    <w:rsid w:val="07954271"/>
    <w:rsid w:val="07E32607"/>
    <w:rsid w:val="083F7233"/>
    <w:rsid w:val="08570094"/>
    <w:rsid w:val="0892424A"/>
    <w:rsid w:val="08A100E8"/>
    <w:rsid w:val="08D706EB"/>
    <w:rsid w:val="09281C73"/>
    <w:rsid w:val="092B0852"/>
    <w:rsid w:val="0A5766D2"/>
    <w:rsid w:val="0B5B6EA7"/>
    <w:rsid w:val="0B9B184D"/>
    <w:rsid w:val="0BBF2600"/>
    <w:rsid w:val="0C3E61B9"/>
    <w:rsid w:val="0DA12370"/>
    <w:rsid w:val="0DBF0EC4"/>
    <w:rsid w:val="0DE40DBE"/>
    <w:rsid w:val="0E672DB3"/>
    <w:rsid w:val="0E904937"/>
    <w:rsid w:val="0E9E1831"/>
    <w:rsid w:val="0EAB0093"/>
    <w:rsid w:val="0F225786"/>
    <w:rsid w:val="0FCE2C6B"/>
    <w:rsid w:val="107F49DA"/>
    <w:rsid w:val="11103FB2"/>
    <w:rsid w:val="11106DD4"/>
    <w:rsid w:val="112517B1"/>
    <w:rsid w:val="113065C7"/>
    <w:rsid w:val="11551C0D"/>
    <w:rsid w:val="11630C29"/>
    <w:rsid w:val="12374305"/>
    <w:rsid w:val="12AB3D92"/>
    <w:rsid w:val="132D67B3"/>
    <w:rsid w:val="13320F8E"/>
    <w:rsid w:val="13E72023"/>
    <w:rsid w:val="14777F31"/>
    <w:rsid w:val="159705C2"/>
    <w:rsid w:val="182F44F3"/>
    <w:rsid w:val="184E41FF"/>
    <w:rsid w:val="1865790E"/>
    <w:rsid w:val="189E6B7E"/>
    <w:rsid w:val="18E41C4F"/>
    <w:rsid w:val="18EA25BB"/>
    <w:rsid w:val="193B3817"/>
    <w:rsid w:val="19497A6B"/>
    <w:rsid w:val="1998123A"/>
    <w:rsid w:val="19AA0987"/>
    <w:rsid w:val="19DF1744"/>
    <w:rsid w:val="1A8B6B5A"/>
    <w:rsid w:val="1AE736E0"/>
    <w:rsid w:val="1AF5353D"/>
    <w:rsid w:val="1B493578"/>
    <w:rsid w:val="1B5723EF"/>
    <w:rsid w:val="1B93321C"/>
    <w:rsid w:val="1BAD400C"/>
    <w:rsid w:val="1C380FAC"/>
    <w:rsid w:val="1DE81A96"/>
    <w:rsid w:val="1E4521C9"/>
    <w:rsid w:val="1EC85776"/>
    <w:rsid w:val="1F0B1E38"/>
    <w:rsid w:val="1F176598"/>
    <w:rsid w:val="1F782175"/>
    <w:rsid w:val="1FFB4E00"/>
    <w:rsid w:val="200C1DCC"/>
    <w:rsid w:val="2024443A"/>
    <w:rsid w:val="20B62B46"/>
    <w:rsid w:val="20B86F62"/>
    <w:rsid w:val="20DA469D"/>
    <w:rsid w:val="21141E9E"/>
    <w:rsid w:val="219C0C5F"/>
    <w:rsid w:val="22327406"/>
    <w:rsid w:val="223E3923"/>
    <w:rsid w:val="22CD72A0"/>
    <w:rsid w:val="22DC6C27"/>
    <w:rsid w:val="230709BE"/>
    <w:rsid w:val="2333299E"/>
    <w:rsid w:val="23B92E0F"/>
    <w:rsid w:val="24640781"/>
    <w:rsid w:val="24972E1D"/>
    <w:rsid w:val="2575459C"/>
    <w:rsid w:val="258F1C50"/>
    <w:rsid w:val="260C2C13"/>
    <w:rsid w:val="26DE5391"/>
    <w:rsid w:val="26F92D9C"/>
    <w:rsid w:val="27727EF2"/>
    <w:rsid w:val="27E167C8"/>
    <w:rsid w:val="27E8188C"/>
    <w:rsid w:val="27FC6D6D"/>
    <w:rsid w:val="280F7F64"/>
    <w:rsid w:val="286E79EF"/>
    <w:rsid w:val="295D2E54"/>
    <w:rsid w:val="29E733A5"/>
    <w:rsid w:val="29EC6ACA"/>
    <w:rsid w:val="2A6F6F5A"/>
    <w:rsid w:val="2A752D03"/>
    <w:rsid w:val="2A954942"/>
    <w:rsid w:val="2AD02384"/>
    <w:rsid w:val="2B4A4982"/>
    <w:rsid w:val="2B6C2AA5"/>
    <w:rsid w:val="2C3A64AA"/>
    <w:rsid w:val="2C603C27"/>
    <w:rsid w:val="2CC9483E"/>
    <w:rsid w:val="2CD61AC0"/>
    <w:rsid w:val="2D003A0D"/>
    <w:rsid w:val="2D225054"/>
    <w:rsid w:val="2D3E76EB"/>
    <w:rsid w:val="2D675D4F"/>
    <w:rsid w:val="2DAD2928"/>
    <w:rsid w:val="2E3D6C9E"/>
    <w:rsid w:val="2E681D4B"/>
    <w:rsid w:val="2E763F41"/>
    <w:rsid w:val="2ED755ED"/>
    <w:rsid w:val="2EFF3B7B"/>
    <w:rsid w:val="2F2D5CF3"/>
    <w:rsid w:val="2FFD053A"/>
    <w:rsid w:val="305074F8"/>
    <w:rsid w:val="30567424"/>
    <w:rsid w:val="30A47F0F"/>
    <w:rsid w:val="31AE2E30"/>
    <w:rsid w:val="32145B6C"/>
    <w:rsid w:val="32482F63"/>
    <w:rsid w:val="324A441E"/>
    <w:rsid w:val="32887A79"/>
    <w:rsid w:val="3367096B"/>
    <w:rsid w:val="34015BA1"/>
    <w:rsid w:val="34104944"/>
    <w:rsid w:val="34607C42"/>
    <w:rsid w:val="34AD3121"/>
    <w:rsid w:val="35850C85"/>
    <w:rsid w:val="358537EA"/>
    <w:rsid w:val="36206E51"/>
    <w:rsid w:val="3645059F"/>
    <w:rsid w:val="36FA0C0E"/>
    <w:rsid w:val="37564C34"/>
    <w:rsid w:val="37AF0C3F"/>
    <w:rsid w:val="381338B3"/>
    <w:rsid w:val="387820A1"/>
    <w:rsid w:val="391D2725"/>
    <w:rsid w:val="39241426"/>
    <w:rsid w:val="39D96010"/>
    <w:rsid w:val="3A0A5821"/>
    <w:rsid w:val="3AE30FAC"/>
    <w:rsid w:val="3B3A67B9"/>
    <w:rsid w:val="3B572D45"/>
    <w:rsid w:val="3BB47094"/>
    <w:rsid w:val="3BD82555"/>
    <w:rsid w:val="3BE30B1F"/>
    <w:rsid w:val="3C396CD8"/>
    <w:rsid w:val="3D912EF9"/>
    <w:rsid w:val="3DA25E25"/>
    <w:rsid w:val="3E103198"/>
    <w:rsid w:val="3E346E0B"/>
    <w:rsid w:val="3E5C675F"/>
    <w:rsid w:val="3EBE1131"/>
    <w:rsid w:val="3F541632"/>
    <w:rsid w:val="4003626C"/>
    <w:rsid w:val="40A064F7"/>
    <w:rsid w:val="410C5355"/>
    <w:rsid w:val="416F0B2D"/>
    <w:rsid w:val="41817FB6"/>
    <w:rsid w:val="41894D39"/>
    <w:rsid w:val="41A91634"/>
    <w:rsid w:val="41C408EB"/>
    <w:rsid w:val="41E85D9F"/>
    <w:rsid w:val="421364F5"/>
    <w:rsid w:val="426D0D62"/>
    <w:rsid w:val="42893EDE"/>
    <w:rsid w:val="42C02DF3"/>
    <w:rsid w:val="42CD5B5D"/>
    <w:rsid w:val="43102EB4"/>
    <w:rsid w:val="431A22B8"/>
    <w:rsid w:val="439A1C32"/>
    <w:rsid w:val="43C05837"/>
    <w:rsid w:val="43EA5A8B"/>
    <w:rsid w:val="440E56DA"/>
    <w:rsid w:val="443E01E7"/>
    <w:rsid w:val="44665196"/>
    <w:rsid w:val="44CD6391"/>
    <w:rsid w:val="44D66D93"/>
    <w:rsid w:val="45484D77"/>
    <w:rsid w:val="45976AE3"/>
    <w:rsid w:val="45D1027C"/>
    <w:rsid w:val="45FA2B9F"/>
    <w:rsid w:val="46653F5C"/>
    <w:rsid w:val="4670116D"/>
    <w:rsid w:val="46BF177E"/>
    <w:rsid w:val="46CC0FBC"/>
    <w:rsid w:val="46F821E8"/>
    <w:rsid w:val="479D7FBF"/>
    <w:rsid w:val="47E92A18"/>
    <w:rsid w:val="484F3834"/>
    <w:rsid w:val="486A1208"/>
    <w:rsid w:val="487E3CCE"/>
    <w:rsid w:val="491D7010"/>
    <w:rsid w:val="49F61C6A"/>
    <w:rsid w:val="4A2F0F8F"/>
    <w:rsid w:val="4B21070C"/>
    <w:rsid w:val="4C6D260E"/>
    <w:rsid w:val="4CA65850"/>
    <w:rsid w:val="4D4867BB"/>
    <w:rsid w:val="4D7854C0"/>
    <w:rsid w:val="4E1C022A"/>
    <w:rsid w:val="4E1E1D89"/>
    <w:rsid w:val="4FA771C2"/>
    <w:rsid w:val="4FDC7DDA"/>
    <w:rsid w:val="5003209D"/>
    <w:rsid w:val="508E2B4E"/>
    <w:rsid w:val="524A480D"/>
    <w:rsid w:val="5263348D"/>
    <w:rsid w:val="527E7420"/>
    <w:rsid w:val="5292301A"/>
    <w:rsid w:val="52C10CD7"/>
    <w:rsid w:val="52F64CB8"/>
    <w:rsid w:val="52FB39A7"/>
    <w:rsid w:val="531641E9"/>
    <w:rsid w:val="5446604D"/>
    <w:rsid w:val="547E1AE0"/>
    <w:rsid w:val="54F554AC"/>
    <w:rsid w:val="551A0D5D"/>
    <w:rsid w:val="55EE4C06"/>
    <w:rsid w:val="561A148B"/>
    <w:rsid w:val="565B213D"/>
    <w:rsid w:val="56D444B4"/>
    <w:rsid w:val="572D0183"/>
    <w:rsid w:val="57567F4A"/>
    <w:rsid w:val="57667B7B"/>
    <w:rsid w:val="578D66D2"/>
    <w:rsid w:val="58367041"/>
    <w:rsid w:val="583A1E71"/>
    <w:rsid w:val="584A40DF"/>
    <w:rsid w:val="589814E3"/>
    <w:rsid w:val="58B969E6"/>
    <w:rsid w:val="58C42CE6"/>
    <w:rsid w:val="59035A6B"/>
    <w:rsid w:val="592C7507"/>
    <w:rsid w:val="59A37B89"/>
    <w:rsid w:val="59D35B7E"/>
    <w:rsid w:val="5AD77D82"/>
    <w:rsid w:val="5B134CBA"/>
    <w:rsid w:val="5B214FE3"/>
    <w:rsid w:val="5C557763"/>
    <w:rsid w:val="5CC74DB0"/>
    <w:rsid w:val="5DA41796"/>
    <w:rsid w:val="5DC167D7"/>
    <w:rsid w:val="5F0E08C6"/>
    <w:rsid w:val="5F5075CA"/>
    <w:rsid w:val="5F7007A2"/>
    <w:rsid w:val="5F85487D"/>
    <w:rsid w:val="5FB650D9"/>
    <w:rsid w:val="6096215E"/>
    <w:rsid w:val="62B86D17"/>
    <w:rsid w:val="62C824CA"/>
    <w:rsid w:val="642A2386"/>
    <w:rsid w:val="64677320"/>
    <w:rsid w:val="653C0392"/>
    <w:rsid w:val="6586792A"/>
    <w:rsid w:val="65DD20B3"/>
    <w:rsid w:val="662C503A"/>
    <w:rsid w:val="66BB543F"/>
    <w:rsid w:val="66C47D68"/>
    <w:rsid w:val="67A45BAF"/>
    <w:rsid w:val="67CF5796"/>
    <w:rsid w:val="6855309E"/>
    <w:rsid w:val="68B23C16"/>
    <w:rsid w:val="69264D03"/>
    <w:rsid w:val="694F76A8"/>
    <w:rsid w:val="69884565"/>
    <w:rsid w:val="69F16575"/>
    <w:rsid w:val="69FE6269"/>
    <w:rsid w:val="6B110ED0"/>
    <w:rsid w:val="6B3D74AC"/>
    <w:rsid w:val="6BF5199F"/>
    <w:rsid w:val="6C81461E"/>
    <w:rsid w:val="6CE610BF"/>
    <w:rsid w:val="6CED312F"/>
    <w:rsid w:val="6D1916FD"/>
    <w:rsid w:val="6D226C43"/>
    <w:rsid w:val="6D535020"/>
    <w:rsid w:val="6DCF5925"/>
    <w:rsid w:val="6E383ABA"/>
    <w:rsid w:val="6E8B493F"/>
    <w:rsid w:val="6EA3545A"/>
    <w:rsid w:val="6F9F7F7D"/>
    <w:rsid w:val="700F3136"/>
    <w:rsid w:val="719A4F83"/>
    <w:rsid w:val="71DE50A5"/>
    <w:rsid w:val="722B548E"/>
    <w:rsid w:val="722E4AEA"/>
    <w:rsid w:val="73683978"/>
    <w:rsid w:val="73F43F5E"/>
    <w:rsid w:val="7438150C"/>
    <w:rsid w:val="746F037C"/>
    <w:rsid w:val="74F82EAA"/>
    <w:rsid w:val="75457DB7"/>
    <w:rsid w:val="7563067A"/>
    <w:rsid w:val="75E55D62"/>
    <w:rsid w:val="76466533"/>
    <w:rsid w:val="77E07CCD"/>
    <w:rsid w:val="77F97E1C"/>
    <w:rsid w:val="785111E8"/>
    <w:rsid w:val="78D44148"/>
    <w:rsid w:val="78E831F4"/>
    <w:rsid w:val="79AC141B"/>
    <w:rsid w:val="79B51E35"/>
    <w:rsid w:val="79EA27D4"/>
    <w:rsid w:val="7AE23540"/>
    <w:rsid w:val="7C29457B"/>
    <w:rsid w:val="7CE9423F"/>
    <w:rsid w:val="7D9A1A1C"/>
    <w:rsid w:val="7E163DF2"/>
    <w:rsid w:val="7E1D587C"/>
    <w:rsid w:val="7E220861"/>
    <w:rsid w:val="7E9A50CB"/>
    <w:rsid w:val="7EE2433D"/>
    <w:rsid w:val="7F1A184B"/>
    <w:rsid w:val="7F4A08A0"/>
    <w:rsid w:val="7F956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3"/>
    <w:autoRedefine/>
    <w:qFormat/>
    <w:uiPriority w:val="0"/>
    <w:pPr>
      <w:keepNext/>
      <w:keepLines/>
      <w:spacing w:beforeLines="0" w:beforeAutospacing="0" w:afterLines="0" w:afterAutospacing="0" w:line="360" w:lineRule="auto"/>
      <w:jc w:val="center"/>
      <w:outlineLvl w:val="0"/>
    </w:pPr>
    <w:rPr>
      <w:rFonts w:hint="eastAsia" w:ascii="Times New Roman" w:hAnsi="Times New Roman" w:eastAsia="宋体"/>
      <w:b/>
      <w:color w:val="000000"/>
      <w:kern w:val="44"/>
      <w:sz w:val="44"/>
      <w:lang w:val="zh-CN"/>
    </w:rPr>
  </w:style>
  <w:style w:type="paragraph" w:styleId="3">
    <w:name w:val="heading 2"/>
    <w:basedOn w:val="1"/>
    <w:next w:val="1"/>
    <w:autoRedefine/>
    <w:qFormat/>
    <w:uiPriority w:val="9"/>
    <w:pPr>
      <w:keepNext/>
      <w:keepLines/>
      <w:spacing w:before="260" w:after="260" w:line="240" w:lineRule="auto"/>
      <w:jc w:val="center"/>
      <w:outlineLvl w:val="1"/>
    </w:pPr>
    <w:rPr>
      <w:rFonts w:ascii="Cambria" w:hAnsi="Cambria" w:eastAsia="宋体"/>
      <w:b/>
      <w:bCs/>
      <w:kern w:val="0"/>
      <w:sz w:val="28"/>
      <w:szCs w:val="32"/>
    </w:rPr>
  </w:style>
  <w:style w:type="paragraph" w:styleId="4">
    <w:name w:val="heading 3"/>
    <w:basedOn w:val="1"/>
    <w:next w:val="1"/>
    <w:autoRedefine/>
    <w:qFormat/>
    <w:uiPriority w:val="0"/>
    <w:pPr>
      <w:keepNext/>
      <w:keepLines/>
      <w:spacing w:before="260" w:after="260" w:line="416" w:lineRule="auto"/>
      <w:outlineLvl w:val="2"/>
    </w:pPr>
    <w:rPr>
      <w:b/>
      <w:bCs/>
      <w:kern w:val="0"/>
      <w:sz w:val="32"/>
      <w:szCs w:val="32"/>
    </w:rPr>
  </w:style>
  <w:style w:type="character" w:default="1" w:styleId="20">
    <w:name w:val="Default Paragraph Font"/>
    <w:autoRedefine/>
    <w:semiHidden/>
    <w:qFormat/>
    <w:uiPriority w:val="0"/>
  </w:style>
  <w:style w:type="table" w:default="1" w:styleId="18">
    <w:name w:val="Normal Table"/>
    <w:autoRedefine/>
    <w:semiHidden/>
    <w:qFormat/>
    <w:uiPriority w:val="0"/>
    <w:tblPr>
      <w:tblCellMar>
        <w:top w:w="0" w:type="dxa"/>
        <w:left w:w="108" w:type="dxa"/>
        <w:bottom w:w="0" w:type="dxa"/>
        <w:right w:w="108" w:type="dxa"/>
      </w:tblCellMar>
    </w:tblPr>
  </w:style>
  <w:style w:type="paragraph" w:styleId="5">
    <w:name w:val="Body Text"/>
    <w:basedOn w:val="1"/>
    <w:next w:val="6"/>
    <w:autoRedefine/>
    <w:qFormat/>
    <w:uiPriority w:val="0"/>
    <w:pPr>
      <w:spacing w:after="120" w:afterLines="0" w:afterAutospacing="0"/>
    </w:pPr>
  </w:style>
  <w:style w:type="paragraph" w:styleId="6">
    <w:name w:val="Quote"/>
    <w:basedOn w:val="1"/>
    <w:next w:val="1"/>
    <w:autoRedefine/>
    <w:qFormat/>
    <w:uiPriority w:val="0"/>
    <w:rPr>
      <w:i/>
      <w:iCs/>
      <w:color w:val="000000"/>
      <w:szCs w:val="22"/>
    </w:rPr>
  </w:style>
  <w:style w:type="paragraph" w:styleId="7">
    <w:name w:val="Body Text Indent"/>
    <w:basedOn w:val="1"/>
    <w:autoRedefine/>
    <w:qFormat/>
    <w:uiPriority w:val="0"/>
    <w:pPr>
      <w:spacing w:after="120" w:afterLines="0"/>
      <w:ind w:left="420" w:leftChars="200"/>
    </w:pPr>
  </w:style>
  <w:style w:type="paragraph" w:styleId="8">
    <w:name w:val="toc 3"/>
    <w:basedOn w:val="1"/>
    <w:next w:val="1"/>
    <w:autoRedefine/>
    <w:qFormat/>
    <w:uiPriority w:val="0"/>
    <w:pPr>
      <w:ind w:left="840" w:leftChars="400"/>
    </w:pPr>
  </w:style>
  <w:style w:type="paragraph" w:styleId="9">
    <w:name w:val="Plain Text"/>
    <w:basedOn w:val="1"/>
    <w:autoRedefine/>
    <w:qFormat/>
    <w:uiPriority w:val="0"/>
    <w:rPr>
      <w:rFonts w:ascii="宋体" w:hAnsi="Courier New"/>
      <w:szCs w:val="20"/>
    </w:rPr>
  </w:style>
  <w:style w:type="paragraph" w:styleId="10">
    <w:name w:val="Body Text Indent 2"/>
    <w:basedOn w:val="1"/>
    <w:autoRedefine/>
    <w:qFormat/>
    <w:uiPriority w:val="0"/>
    <w:pPr>
      <w:spacing w:after="120" w:line="480" w:lineRule="auto"/>
      <w:ind w:left="420" w:leftChars="200"/>
    </w:pPr>
  </w:style>
  <w:style w:type="paragraph" w:styleId="11">
    <w:name w:val="footer"/>
    <w:basedOn w:val="1"/>
    <w:autoRedefine/>
    <w:qFormat/>
    <w:uiPriority w:val="0"/>
    <w:pPr>
      <w:tabs>
        <w:tab w:val="center" w:pos="4153"/>
        <w:tab w:val="right" w:pos="8306"/>
      </w:tabs>
      <w:snapToGrid w:val="0"/>
      <w:jc w:val="left"/>
    </w:pPr>
    <w:rPr>
      <w:sz w:val="18"/>
      <w:szCs w:val="18"/>
    </w:rPr>
  </w:style>
  <w:style w:type="paragraph" w:styleId="12">
    <w:name w:val="envelope return"/>
    <w:basedOn w:val="1"/>
    <w:autoRedefine/>
    <w:qFormat/>
    <w:uiPriority w:val="0"/>
    <w:pPr>
      <w:snapToGrid w:val="0"/>
    </w:pPr>
    <w:rPr>
      <w:rFonts w:ascii="Arial" w:hAnsi="Arial"/>
    </w:rPr>
  </w:style>
  <w:style w:type="paragraph" w:styleId="1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qFormat/>
    <w:uiPriority w:val="0"/>
    <w:pPr>
      <w:tabs>
        <w:tab w:val="right" w:leader="dot" w:pos="9628"/>
      </w:tabs>
      <w:spacing w:line="360" w:lineRule="auto"/>
      <w:jc w:val="center"/>
    </w:pPr>
  </w:style>
  <w:style w:type="paragraph" w:styleId="15">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Body Text First Indent"/>
    <w:basedOn w:val="5"/>
    <w:autoRedefine/>
    <w:qFormat/>
    <w:uiPriority w:val="0"/>
    <w:pPr>
      <w:ind w:firstLine="420" w:firstLineChars="100"/>
    </w:pPr>
    <w:rPr>
      <w:rFonts w:ascii="Times New Roman" w:hAnsi="Times New Roman" w:eastAsia="宋体" w:cs="Times New Roman"/>
    </w:rPr>
  </w:style>
  <w:style w:type="paragraph" w:styleId="17">
    <w:name w:val="Body Text First Indent 2"/>
    <w:basedOn w:val="7"/>
    <w:autoRedefine/>
    <w:unhideWhenUsed/>
    <w:qFormat/>
    <w:uiPriority w:val="99"/>
    <w:pPr>
      <w:ind w:firstLine="420" w:firstLineChars="200"/>
    </w:pPr>
  </w:style>
  <w:style w:type="table" w:styleId="19">
    <w:name w:val="Table Grid"/>
    <w:basedOn w:val="1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autoRedefine/>
    <w:qFormat/>
    <w:uiPriority w:val="0"/>
  </w:style>
  <w:style w:type="character" w:styleId="22">
    <w:name w:val="Hyperlink"/>
    <w:autoRedefine/>
    <w:qFormat/>
    <w:uiPriority w:val="0"/>
    <w:rPr>
      <w:color w:val="0000FF"/>
      <w:u w:val="single"/>
    </w:rPr>
  </w:style>
  <w:style w:type="character" w:customStyle="1" w:styleId="23">
    <w:name w:val="标题 1 Char"/>
    <w:link w:val="2"/>
    <w:autoRedefine/>
    <w:qFormat/>
    <w:uiPriority w:val="0"/>
    <w:rPr>
      <w:rFonts w:hint="eastAsia" w:ascii="Times New Roman" w:hAnsi="Times New Roman" w:eastAsia="宋体"/>
      <w:b/>
      <w:color w:val="000000"/>
      <w:kern w:val="44"/>
      <w:sz w:val="44"/>
      <w:lang w:val="zh-CN"/>
    </w:rPr>
  </w:style>
  <w:style w:type="paragraph" w:customStyle="1" w:styleId="24">
    <w:name w:val="正文首行缩进两字符"/>
    <w:basedOn w:val="1"/>
    <w:autoRedefine/>
    <w:qFormat/>
    <w:uiPriority w:val="0"/>
    <w:pPr>
      <w:spacing w:line="360" w:lineRule="auto"/>
      <w:ind w:firstLine="200" w:firstLineChars="200"/>
    </w:pPr>
  </w:style>
  <w:style w:type="character" w:customStyle="1" w:styleId="25">
    <w:name w:val="font21"/>
    <w:basedOn w:val="20"/>
    <w:autoRedefine/>
    <w:qFormat/>
    <w:uiPriority w:val="0"/>
    <w:rPr>
      <w:rFonts w:ascii="Calibri" w:hAnsi="Calibri" w:cs="Calibri"/>
      <w:color w:val="000000"/>
      <w:sz w:val="18"/>
      <w:szCs w:val="18"/>
      <w:u w:val="none"/>
    </w:rPr>
  </w:style>
  <w:style w:type="character" w:customStyle="1" w:styleId="26">
    <w:name w:val="font01"/>
    <w:basedOn w:val="20"/>
    <w:autoRedefine/>
    <w:qFormat/>
    <w:uiPriority w:val="0"/>
    <w:rPr>
      <w:rFonts w:hint="eastAsia" w:ascii="宋体" w:hAnsi="宋体" w:eastAsia="宋体" w:cs="宋体"/>
      <w:color w:val="000000"/>
      <w:sz w:val="18"/>
      <w:szCs w:val="18"/>
      <w:u w:val="none"/>
    </w:rPr>
  </w:style>
  <w:style w:type="paragraph" w:styleId="27">
    <w:name w:val="List Paragraph"/>
    <w:basedOn w:val="1"/>
    <w:autoRedefine/>
    <w:qFormat/>
    <w:uiPriority w:val="34"/>
    <w:pPr>
      <w:ind w:firstLine="420" w:firstLineChars="200"/>
    </w:pPr>
    <w:rPr>
      <w:rFonts w:ascii="Calibri" w:hAnsi="Calibri" w:eastAsia="宋体" w:cs="Times New Roman"/>
      <w:sz w:val="21"/>
      <w:szCs w:val="22"/>
    </w:rPr>
  </w:style>
  <w:style w:type="paragraph" w:customStyle="1" w:styleId="28">
    <w:name w:val="文章正文"/>
    <w:basedOn w:val="1"/>
    <w:autoRedefine/>
    <w:qFormat/>
    <w:uiPriority w:val="0"/>
    <w:pPr>
      <w:widowControl w:val="0"/>
      <w:adjustRightInd/>
      <w:snapToGrid/>
      <w:spacing w:after="0" w:line="360" w:lineRule="auto"/>
      <w:ind w:firstLine="420"/>
      <w:jc w:val="both"/>
    </w:pPr>
    <w:rPr>
      <w:rFonts w:ascii="Calibri" w:hAnsi="Calibri"/>
      <w:kern w:val="2"/>
      <w:sz w:val="24"/>
      <w:szCs w:val="24"/>
    </w:rPr>
  </w:style>
  <w:style w:type="paragraph" w:customStyle="1" w:styleId="29">
    <w:name w:val="_Style 1"/>
    <w:basedOn w:val="1"/>
    <w:autoRedefine/>
    <w:qFormat/>
    <w:uiPriority w:val="34"/>
    <w:pPr>
      <w:ind w:firstLine="420" w:firstLineChars="200"/>
    </w:pPr>
  </w:style>
  <w:style w:type="paragraph" w:customStyle="1" w:styleId="30">
    <w:name w:val="引用1"/>
    <w:next w:val="1"/>
    <w:autoRedefine/>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customStyle="1" w:styleId="31">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2">
    <w:name w:val="null3"/>
    <w:autoRedefine/>
    <w:hidden/>
    <w:qFormat/>
    <w:uiPriority w:val="0"/>
    <w:rPr>
      <w:rFonts w:hint="eastAsia" w:asciiTheme="minorHAnsi" w:hAnsiTheme="minorHAnsi" w:eastAsiaTheme="minorEastAsia" w:cstheme="minorBidi"/>
      <w:kern w:val="0"/>
      <w:sz w:val="20"/>
      <w:szCs w:val="20"/>
      <w:lang w:val="en-US" w:eastAsia="zh-Han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5236</Words>
  <Characters>5390</Characters>
  <Lines>0</Lines>
  <Paragraphs>0</Paragraphs>
  <TotalTime>8</TotalTime>
  <ScaleCrop>false</ScaleCrop>
  <LinksUpToDate>false</LinksUpToDate>
  <CharactersWithSpaces>5586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2018-10-30T02:17:00Z</dcterms:created>
  <dc:creator>于金玉</dc:creator>
  <cp:lastModifiedBy>天哥</cp:lastModifiedBy>
  <cp:lastPrinted>2019-09-23T08:20:00Z</cp:lastPrinted>
  <dcterms:modified xsi:type="dcterms:W3CDTF">2023-12-28T03:24:41Z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49441F3951784AA7B22B7BD2CD731681_13</vt:lpwstr>
  </property>
</Properties>
</file>